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AE" w:rsidRPr="00FD6EAE" w:rsidRDefault="002128BE" w:rsidP="00FD6EA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Review of </w:t>
      </w:r>
      <w:r w:rsidR="00FD6EAE" w:rsidRPr="00FD6EAE">
        <w:rPr>
          <w:b/>
          <w:sz w:val="28"/>
        </w:rPr>
        <w:t>Scrutiny Work Programme 2014 - 2015</w:t>
      </w:r>
    </w:p>
    <w:p w:rsidR="00FD6EAE" w:rsidRPr="00FD6EAE" w:rsidRDefault="00FD6EAE" w:rsidP="00FD6EAE"/>
    <w:p w:rsidR="00FD6EAE" w:rsidRPr="00FD6EAE" w:rsidRDefault="00FD6EAE" w:rsidP="007C6B5D">
      <w:pPr>
        <w:ind w:left="480"/>
      </w:pPr>
      <w:r w:rsidRPr="00FD6EAE">
        <w:t>This programme represents the work of Scrutiny, including panel work and Committee items.  The work programme is divided under the following headings:</w:t>
      </w:r>
    </w:p>
    <w:p w:rsidR="00FD6EAE" w:rsidRPr="00FD6EAE" w:rsidRDefault="00FD6EAE" w:rsidP="007C6B5D">
      <w:pPr>
        <w:ind w:left="480"/>
      </w:pPr>
    </w:p>
    <w:p w:rsidR="00FD6EAE" w:rsidRPr="00FD6EAE" w:rsidRDefault="00FD6EAE" w:rsidP="007C6B5D">
      <w:pPr>
        <w:numPr>
          <w:ilvl w:val="0"/>
          <w:numId w:val="3"/>
        </w:numPr>
        <w:tabs>
          <w:tab w:val="clear" w:pos="840"/>
          <w:tab w:val="num" w:pos="1320"/>
        </w:tabs>
        <w:ind w:left="1320"/>
        <w:contextualSpacing/>
      </w:pPr>
      <w:r w:rsidRPr="00FD6EAE">
        <w:t xml:space="preserve">Standing Panels </w:t>
      </w:r>
    </w:p>
    <w:p w:rsidR="00FD6EAE" w:rsidRPr="00FD6EAE" w:rsidRDefault="00D77262" w:rsidP="007C6B5D">
      <w:pPr>
        <w:numPr>
          <w:ilvl w:val="0"/>
          <w:numId w:val="3"/>
        </w:numPr>
        <w:ind w:left="1320"/>
      </w:pPr>
      <w:r>
        <w:t>Review Groups</w:t>
      </w:r>
      <w:r w:rsidR="00FD6EAE" w:rsidRPr="00FD6EAE">
        <w:t xml:space="preserve"> and Ad hoc Panels in progress</w:t>
      </w:r>
    </w:p>
    <w:p w:rsidR="00FD6EAE" w:rsidRPr="00FD6EAE" w:rsidRDefault="00FD6EAE" w:rsidP="007C6B5D">
      <w:pPr>
        <w:numPr>
          <w:ilvl w:val="0"/>
          <w:numId w:val="3"/>
        </w:numPr>
        <w:ind w:left="1320"/>
      </w:pPr>
      <w:r w:rsidRPr="00FD6EAE">
        <w:t>Potential Review Panels (to be established if and when resources allow)</w:t>
      </w:r>
    </w:p>
    <w:p w:rsidR="00FD6EAE" w:rsidRPr="00FD6EAE" w:rsidRDefault="00FD6EAE" w:rsidP="007C6B5D">
      <w:pPr>
        <w:numPr>
          <w:ilvl w:val="0"/>
          <w:numId w:val="3"/>
        </w:numPr>
        <w:ind w:left="1320"/>
        <w:contextualSpacing/>
      </w:pPr>
      <w:r w:rsidRPr="00FD6EAE">
        <w:t xml:space="preserve">Items for Scrutiny Committee meetings </w:t>
      </w:r>
    </w:p>
    <w:p w:rsidR="00FD6EAE" w:rsidRPr="00FD6EAE" w:rsidRDefault="00FD6EAE" w:rsidP="007C6B5D">
      <w:pPr>
        <w:numPr>
          <w:ilvl w:val="0"/>
          <w:numId w:val="3"/>
        </w:numPr>
        <w:ind w:left="1320"/>
        <w:contextualSpacing/>
      </w:pPr>
      <w:r w:rsidRPr="00FD6EAE">
        <w:t>Draft Scrutiny Committee agenda schedule</w:t>
      </w:r>
    </w:p>
    <w:p w:rsidR="00FD6EAE" w:rsidRPr="00FD6EAE" w:rsidRDefault="00FD6EAE" w:rsidP="007C6B5D">
      <w:pPr>
        <w:numPr>
          <w:ilvl w:val="0"/>
          <w:numId w:val="3"/>
        </w:numPr>
        <w:ind w:left="1320"/>
        <w:contextualSpacing/>
      </w:pPr>
      <w:r w:rsidRPr="00FD6EAE">
        <w:t>Items called in and Councillor calls for action</w:t>
      </w:r>
    </w:p>
    <w:p w:rsidR="00FD6EAE" w:rsidRPr="00FD6EAE" w:rsidRDefault="00FD6EAE" w:rsidP="007C6B5D">
      <w:pPr>
        <w:numPr>
          <w:ilvl w:val="0"/>
          <w:numId w:val="3"/>
        </w:numPr>
        <w:ind w:left="1320"/>
        <w:contextualSpacing/>
      </w:pPr>
      <w:r w:rsidRPr="00FD6EAE">
        <w:t>Items referred to Scrutiny by Council</w:t>
      </w:r>
    </w:p>
    <w:p w:rsidR="00FD6EAE" w:rsidRDefault="00FD6EAE" w:rsidP="007C6B5D">
      <w:pPr>
        <w:ind w:left="480"/>
      </w:pPr>
    </w:p>
    <w:p w:rsidR="00716A60" w:rsidRDefault="00716A60" w:rsidP="007C6B5D">
      <w:pPr>
        <w:ind w:left="480"/>
        <w:rPr>
          <w:u w:val="single"/>
        </w:rPr>
      </w:pPr>
      <w:r>
        <w:rPr>
          <w:u w:val="single"/>
        </w:rPr>
        <w:t>Appendices</w:t>
      </w:r>
    </w:p>
    <w:p w:rsidR="00716A60" w:rsidRPr="00F20CDD" w:rsidRDefault="00716A60" w:rsidP="007C6B5D">
      <w:pPr>
        <w:ind w:left="480"/>
        <w:rPr>
          <w:i/>
        </w:rPr>
      </w:pPr>
      <w:r w:rsidRPr="00F20CDD">
        <w:rPr>
          <w:i/>
        </w:rPr>
        <w:t>Appendix 1 – Finance Panel work programme</w:t>
      </w:r>
    </w:p>
    <w:p w:rsidR="00716A60" w:rsidRPr="00F20CDD" w:rsidRDefault="00716A60" w:rsidP="007C6B5D">
      <w:pPr>
        <w:ind w:left="480"/>
        <w:rPr>
          <w:i/>
        </w:rPr>
      </w:pPr>
      <w:r w:rsidRPr="00F20CDD">
        <w:rPr>
          <w:i/>
        </w:rPr>
        <w:t>Appendix 2 – Housing Panel work programme</w:t>
      </w:r>
    </w:p>
    <w:p w:rsidR="00716A60" w:rsidRDefault="00716A60" w:rsidP="007C6B5D">
      <w:pPr>
        <w:ind w:left="480"/>
        <w:rPr>
          <w:i/>
        </w:rPr>
      </w:pPr>
      <w:r w:rsidRPr="00F20CDD">
        <w:rPr>
          <w:i/>
        </w:rPr>
        <w:t>Appendix 3 – DRAFT suggested 2015-16 work programme items</w:t>
      </w:r>
      <w:r w:rsidR="004019CA" w:rsidRPr="00F20CDD">
        <w:rPr>
          <w:i/>
        </w:rPr>
        <w:t xml:space="preserve"> (long list)</w:t>
      </w:r>
    </w:p>
    <w:p w:rsidR="0065622F" w:rsidRPr="00F20CDD" w:rsidRDefault="0065622F" w:rsidP="007C6B5D">
      <w:pPr>
        <w:ind w:left="480"/>
        <w:rPr>
          <w:i/>
        </w:rPr>
      </w:pPr>
      <w:r>
        <w:rPr>
          <w:i/>
        </w:rPr>
        <w:t xml:space="preserve">Appendix 4 – Scrutiny activity </w:t>
      </w:r>
      <w:r w:rsidR="0031678C">
        <w:rPr>
          <w:i/>
        </w:rPr>
        <w:t>in numbers for</w:t>
      </w:r>
      <w:r w:rsidR="000A7448">
        <w:rPr>
          <w:i/>
        </w:rPr>
        <w:t xml:space="preserve"> </w:t>
      </w:r>
      <w:r>
        <w:rPr>
          <w:i/>
        </w:rPr>
        <w:t>2014-15</w:t>
      </w:r>
    </w:p>
    <w:p w:rsidR="00FD6EAE" w:rsidRPr="00FD6EAE" w:rsidRDefault="00FD6EAE" w:rsidP="00FD6EAE"/>
    <w:p w:rsidR="00FD6EAE" w:rsidRPr="00FD6EAE" w:rsidRDefault="00FD6EAE" w:rsidP="00505387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Standing Panels</w:t>
      </w:r>
    </w:p>
    <w:p w:rsidR="00FD6EAE" w:rsidRPr="00FD6EAE" w:rsidRDefault="00FD6EAE" w:rsidP="00FD6EAE"/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394"/>
        <w:gridCol w:w="5670"/>
      </w:tblGrid>
      <w:tr w:rsidR="00FD6EAE" w:rsidRPr="00FD6EAE" w:rsidTr="00F20CDD">
        <w:trPr>
          <w:trHeight w:val="81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Area(s) for focus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Nominated councillors (no substitutions allowed</w:t>
            </w:r>
          </w:p>
        </w:tc>
      </w:tr>
      <w:tr w:rsidR="00FD6EAE" w:rsidRPr="00FD6EAE" w:rsidTr="00F20CD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 xml:space="preserve">Finance Panel – All finance issues considered within the Scrutiny Function.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See appendix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 xml:space="preserve">Councillors Simmons (Chair), Darke, Fooks and Fry </w:t>
            </w:r>
          </w:p>
        </w:tc>
      </w:tr>
      <w:tr w:rsidR="00FD6EAE" w:rsidRPr="00FD6EAE" w:rsidTr="00F20CD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t xml:space="preserve">Housing – All strategic and landlord issues considered within the Scrutiny Function.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See appendix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 xml:space="preserve">Councillors </w:t>
            </w:r>
            <w:proofErr w:type="spellStart"/>
            <w:r w:rsidRPr="00FD6EAE">
              <w:t>Hollick</w:t>
            </w:r>
            <w:proofErr w:type="spellEnd"/>
            <w:r w:rsidRPr="00FD6EAE">
              <w:t xml:space="preserve"> (Chair), Sanders</w:t>
            </w:r>
            <w:r w:rsidR="009B19E4">
              <w:t>, Smith</w:t>
            </w:r>
            <w:r w:rsidRPr="00FD6EAE">
              <w:t xml:space="preserve"> and Wade</w:t>
            </w:r>
          </w:p>
          <w:p w:rsidR="00FD6EAE" w:rsidRPr="00FD6EAE" w:rsidRDefault="00FD6EAE" w:rsidP="00FD6EAE">
            <w:r w:rsidRPr="00FD6EAE">
              <w:t xml:space="preserve">Co-opted Member – Linda Hill </w:t>
            </w:r>
          </w:p>
        </w:tc>
      </w:tr>
    </w:tbl>
    <w:p w:rsidR="00FD6EAE" w:rsidRPr="00FD6EAE" w:rsidRDefault="00FD6EAE" w:rsidP="00FD6EAE">
      <w:pPr>
        <w:rPr>
          <w:b/>
          <w:u w:val="single"/>
        </w:rPr>
      </w:pPr>
    </w:p>
    <w:p w:rsidR="00716A60" w:rsidRDefault="00716A60" w:rsidP="00716A60">
      <w:pPr>
        <w:rPr>
          <w:b/>
          <w:u w:val="single"/>
        </w:rPr>
      </w:pPr>
    </w:p>
    <w:p w:rsidR="00FD6EAE" w:rsidRPr="00FD6EAE" w:rsidRDefault="00FD6EAE" w:rsidP="00505387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 xml:space="preserve">Review </w:t>
      </w:r>
      <w:r w:rsidR="00D77262">
        <w:rPr>
          <w:b/>
          <w:u w:val="single"/>
        </w:rPr>
        <w:t>groups</w:t>
      </w:r>
      <w:r w:rsidRPr="00FD6EAE">
        <w:rPr>
          <w:b/>
          <w:u w:val="single"/>
        </w:rPr>
        <w:t xml:space="preserve"> and ad hoc panels in progress</w:t>
      </w:r>
    </w:p>
    <w:p w:rsidR="00FD6EAE" w:rsidRPr="00FD6EAE" w:rsidRDefault="00FD6EAE" w:rsidP="00FD6EAE">
      <w:pPr>
        <w:rPr>
          <w:b/>
          <w:u w:val="single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69"/>
        <w:gridCol w:w="3686"/>
        <w:gridCol w:w="2551"/>
        <w:gridCol w:w="2268"/>
      </w:tblGrid>
      <w:tr w:rsidR="00FD6EAE" w:rsidRPr="00FD6EAE" w:rsidTr="00F20CDD">
        <w:trPr>
          <w:trHeight w:val="7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Scope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Progress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Next steps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Nominated councillors</w:t>
            </w:r>
          </w:p>
        </w:tc>
      </w:tr>
      <w:tr w:rsidR="002A4C14" w:rsidRPr="00FD6EAE" w:rsidTr="00F20CD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14" w:rsidRPr="00FD6EAE" w:rsidRDefault="002A4C14" w:rsidP="00632FDC">
            <w:pPr>
              <w:rPr>
                <w:b/>
              </w:rPr>
            </w:pPr>
            <w:r w:rsidRPr="00FD6EAE">
              <w:t xml:space="preserve">Thames Water investment to improve flooding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14" w:rsidRPr="00FD6EAE" w:rsidRDefault="002A4C14" w:rsidP="007239D4">
            <w:pPr>
              <w:ind w:left="60"/>
            </w:pPr>
            <w:r w:rsidRPr="00FD6EAE">
              <w:t xml:space="preserve">To continue engagement with Thames Water Utilities (TWU) at a senior level to ensure delivery of the agreements reached.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14" w:rsidRPr="006D794A" w:rsidRDefault="00825F7E" w:rsidP="00825F7E">
            <w:pPr>
              <w:rPr>
                <w:highlight w:val="yellow"/>
              </w:rPr>
            </w:pPr>
            <w:r>
              <w:t xml:space="preserve">TWU catchment </w:t>
            </w:r>
            <w:r w:rsidR="005C06CA" w:rsidRPr="005C06CA">
              <w:t>study</w:t>
            </w:r>
            <w:r>
              <w:t xml:space="preserve"> commences in</w:t>
            </w:r>
            <w:r w:rsidR="005C06CA">
              <w:t xml:space="preserve"> April 2015</w:t>
            </w:r>
            <w:r w:rsidR="005C06CA" w:rsidRPr="005C06CA">
              <w:t>.</w:t>
            </w:r>
            <w:r w:rsidR="00E60200" w:rsidRPr="005C06CA">
              <w:t xml:space="preserve"> </w:t>
            </w:r>
            <w:r w:rsidR="00E60200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14" w:rsidRPr="006D794A" w:rsidRDefault="00825F7E" w:rsidP="001853C0">
            <w:pPr>
              <w:rPr>
                <w:highlight w:val="yellow"/>
              </w:rPr>
            </w:pPr>
            <w:r>
              <w:t>First oversight meeting to be arranged for summer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14" w:rsidRPr="00FD6EAE" w:rsidRDefault="002A4C14" w:rsidP="007239D4">
            <w:r w:rsidRPr="00FD6EAE">
              <w:t xml:space="preserve">Councillors </w:t>
            </w:r>
            <w:proofErr w:type="spellStart"/>
            <w:r w:rsidRPr="00FD6EAE">
              <w:t>Darke</w:t>
            </w:r>
            <w:proofErr w:type="spellEnd"/>
            <w:r w:rsidRPr="00FD6EAE">
              <w:t xml:space="preserve"> (Chair) </w:t>
            </w:r>
            <w:proofErr w:type="spellStart"/>
            <w:r w:rsidRPr="00FD6EAE">
              <w:t>Pressel</w:t>
            </w:r>
            <w:proofErr w:type="spellEnd"/>
            <w:r w:rsidRPr="00FD6EAE">
              <w:t>, Thomas and Goddard</w:t>
            </w:r>
          </w:p>
        </w:tc>
      </w:tr>
      <w:tr w:rsidR="00FD6EAE" w:rsidRPr="00FD6EAE" w:rsidTr="00F20CD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Inequality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DD450D">
            <w:pPr>
              <w:rPr>
                <w:rFonts w:cs="Arial"/>
              </w:rPr>
            </w:pPr>
            <w:r w:rsidRPr="00FD6EAE">
              <w:rPr>
                <w:rFonts w:cs="Arial"/>
              </w:rPr>
              <w:t xml:space="preserve">To review how the City Council contributes to combatting harmful inequality in Oxford, and whether there is more that could reasonably be done.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5C06CA" w:rsidRDefault="00825F7E" w:rsidP="00D77262">
            <w:pPr>
              <w:ind w:left="60"/>
            </w:pPr>
            <w:r>
              <w:t xml:space="preserve">The </w:t>
            </w:r>
            <w:r w:rsidR="00D77262">
              <w:t xml:space="preserve">Group </w:t>
            </w:r>
            <w:r>
              <w:t>has one final evidence gathering session remaining and has begun its deliberations.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5C06CA" w:rsidRDefault="00825F7E" w:rsidP="00D77262">
            <w:r>
              <w:t>F</w:t>
            </w:r>
            <w:r w:rsidR="00B763D0">
              <w:t>inal evidence gathering in public on 16 April.</w:t>
            </w:r>
            <w:r>
              <w:t xml:space="preserve">  </w:t>
            </w:r>
            <w:r w:rsidR="00D77262">
              <w:t xml:space="preserve"> Recommendations to be agreed on</w:t>
            </w:r>
            <w:r>
              <w:t xml:space="preserve"> 30 April.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Councillor Coulter (Chair), Gant</w:t>
            </w:r>
            <w:r w:rsidR="00FF0EA6">
              <w:t>, Lloyd-</w:t>
            </w:r>
            <w:proofErr w:type="spellStart"/>
            <w:r w:rsidR="00FF0EA6">
              <w:t>Shogbesan</w:t>
            </w:r>
            <w:proofErr w:type="spellEnd"/>
            <w:r w:rsidRPr="00FD6EAE">
              <w:t xml:space="preserve"> and Thomas </w:t>
            </w:r>
          </w:p>
        </w:tc>
      </w:tr>
      <w:tr w:rsidR="00FD6EAE" w:rsidRPr="00FD6EAE" w:rsidTr="00F20CD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Recycling rates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To review of recycling and waste data rates, and consider community incentives and other recycling initiatives.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6D794A" w:rsidRDefault="00907065" w:rsidP="00907065">
            <w:pPr>
              <w:ind w:left="60"/>
              <w:rPr>
                <w:color w:val="FF0000"/>
                <w:highlight w:val="yellow"/>
              </w:rPr>
            </w:pPr>
            <w:r w:rsidRPr="00907065">
              <w:t xml:space="preserve">Site visit to </w:t>
            </w:r>
            <w:proofErr w:type="spellStart"/>
            <w:r>
              <w:t>Cowley</w:t>
            </w:r>
            <w:proofErr w:type="spellEnd"/>
            <w:r>
              <w:t xml:space="preserve"> Marsh depot held on 16 February. Bid made for DCLG Recycling Reward Scheme funding.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907065" w:rsidRDefault="00907065" w:rsidP="00935468">
            <w:pPr>
              <w:rPr>
                <w:highlight w:val="yellow"/>
              </w:rPr>
            </w:pPr>
            <w:r w:rsidRPr="00907065">
              <w:t>Awaiting comparison data and outcome of bid</w:t>
            </w:r>
            <w:r w:rsidR="00935468">
              <w:t xml:space="preserve"> for government funding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8249C5">
            <w:r w:rsidRPr="00FD6EAE">
              <w:t xml:space="preserve">Councillor Fry (Chair), Simmons </w:t>
            </w:r>
            <w:r w:rsidR="008249C5">
              <w:t>&amp;</w:t>
            </w:r>
            <w:r w:rsidRPr="00FD6EAE">
              <w:t xml:space="preserve"> Hayes</w:t>
            </w:r>
          </w:p>
        </w:tc>
      </w:tr>
      <w:tr w:rsidR="00050939" w:rsidRPr="00FD6EAE" w:rsidTr="00F20CD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9" w:rsidRPr="00FD6EAE" w:rsidRDefault="00543EB6" w:rsidP="00FD6EAE">
            <w:r>
              <w:t>Local economy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9" w:rsidRPr="00FD6EAE" w:rsidRDefault="009B19E4" w:rsidP="00CE04CC">
            <w:r>
              <w:t xml:space="preserve">1. </w:t>
            </w:r>
            <w:r w:rsidR="00B763D0">
              <w:t>M</w:t>
            </w:r>
            <w:r>
              <w:t>itigat</w:t>
            </w:r>
            <w:r w:rsidR="00CE04CC">
              <w:t>e</w:t>
            </w:r>
            <w:r>
              <w:t xml:space="preserve"> disruption to the city centre economy while major developments are taking place</w:t>
            </w:r>
            <w:r w:rsidR="008249C5">
              <w:t xml:space="preserve"> and i</w:t>
            </w:r>
            <w:r w:rsidR="00B763D0">
              <w:t>mprove communications.</w:t>
            </w:r>
            <w:r>
              <w:t xml:space="preserve"> 2. </w:t>
            </w:r>
            <w:r w:rsidR="00B763D0">
              <w:t>M</w:t>
            </w:r>
            <w:r>
              <w:t>inimise the time shop units are left empty, and improv</w:t>
            </w:r>
            <w:r w:rsidR="00B763D0">
              <w:t>e the appearance of empty units.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9" w:rsidRPr="00907065" w:rsidRDefault="00825F7E" w:rsidP="00D77262">
            <w:pPr>
              <w:ind w:left="60"/>
            </w:pPr>
            <w:r>
              <w:t xml:space="preserve">Updates on the work of the Town Team and initial written evidence have been reviewed.  The </w:t>
            </w:r>
            <w:r w:rsidR="00D77262">
              <w:t xml:space="preserve">Group </w:t>
            </w:r>
            <w:r>
              <w:t>has also received feedback from Town Team members on what they would like to see happen.</w:t>
            </w:r>
            <w:r w:rsidR="00907065" w:rsidRPr="00907065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C" w:rsidRPr="006D794A" w:rsidRDefault="00D77262" w:rsidP="00D77262">
            <w:pPr>
              <w:rPr>
                <w:highlight w:val="yellow"/>
              </w:rPr>
            </w:pPr>
            <w:r>
              <w:t>Group to consider a draft report on 13 May. Meeting with one or more</w:t>
            </w:r>
            <w:r w:rsidR="00825F7E">
              <w:t xml:space="preserve"> Town Team steering groups</w:t>
            </w:r>
            <w:r>
              <w:t xml:space="preserve"> TBA</w:t>
            </w:r>
            <w:r w:rsidR="00825F7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9" w:rsidRPr="00FD6EAE" w:rsidRDefault="0027409C" w:rsidP="008249C5">
            <w:r>
              <w:t xml:space="preserve">Councillor Fry (Chair), </w:t>
            </w:r>
            <w:r w:rsidR="0096619F" w:rsidRPr="0096619F">
              <w:t xml:space="preserve">Darke, </w:t>
            </w:r>
            <w:r>
              <w:t xml:space="preserve">Benjamin </w:t>
            </w:r>
            <w:r w:rsidR="008249C5">
              <w:t>&amp;</w:t>
            </w:r>
            <w:r>
              <w:t xml:space="preserve"> Gotch</w:t>
            </w:r>
          </w:p>
        </w:tc>
      </w:tr>
      <w:tr w:rsidR="008249C5" w:rsidRPr="00FD6EAE" w:rsidTr="00F20CDD">
        <w:trPr>
          <w:trHeight w:val="9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C5" w:rsidRPr="00FD6EAE" w:rsidRDefault="008249C5" w:rsidP="004D7C51">
            <w:r w:rsidRPr="00FD6EAE">
              <w:t xml:space="preserve">Cycling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C5" w:rsidRPr="00FD6EAE" w:rsidRDefault="00BA4AA1" w:rsidP="00825F7E">
            <w:r>
              <w:t xml:space="preserve">To review how the City Council can make best use of unallocated investments and produce a </w:t>
            </w:r>
            <w:proofErr w:type="spellStart"/>
            <w:r>
              <w:t>costed</w:t>
            </w:r>
            <w:proofErr w:type="spellEnd"/>
            <w:r>
              <w:t xml:space="preserve"> list of priority schemes.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5" w:rsidRPr="00FD6EAE" w:rsidRDefault="00BA4AA1" w:rsidP="00D77262">
            <w:r>
              <w:t>Scope signed off by Scrutiny Committee.  Cycling groups and officers have been invited to meetings on 14 April and 12 May.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5" w:rsidRPr="00FD6EAE" w:rsidRDefault="00D77262" w:rsidP="00AB5327">
            <w:r>
              <w:t>To d</w:t>
            </w:r>
            <w:r w:rsidR="00BA4AA1">
              <w:t>evelop</w:t>
            </w:r>
            <w:r>
              <w:t>, refin</w:t>
            </w:r>
            <w:r w:rsidR="00AB5327">
              <w:t>e</w:t>
            </w:r>
            <w:r>
              <w:t xml:space="preserve"> and cost</w:t>
            </w:r>
            <w:r w:rsidR="00BA4AA1">
              <w:t xml:space="preserve"> a list of priority schemes.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C5" w:rsidRPr="00FD6EAE" w:rsidRDefault="008249C5" w:rsidP="004D7C51">
            <w:r w:rsidRPr="00FD6EAE">
              <w:t>Councillors Upton</w:t>
            </w:r>
            <w:r>
              <w:t xml:space="preserve"> (Chair)</w:t>
            </w:r>
            <w:r w:rsidRPr="00FD6EAE">
              <w:t>,</w:t>
            </w:r>
            <w:r>
              <w:t xml:space="preserve"> Gant, Hayes,</w:t>
            </w:r>
            <w:r w:rsidRPr="00FD6EAE">
              <w:t xml:space="preserve"> </w:t>
            </w:r>
            <w:proofErr w:type="spellStart"/>
            <w:r w:rsidRPr="00FD6EAE">
              <w:t>Pressel</w:t>
            </w:r>
            <w:proofErr w:type="spellEnd"/>
            <w:r>
              <w:t xml:space="preserve"> &amp; Wolff</w:t>
            </w:r>
          </w:p>
        </w:tc>
      </w:tr>
    </w:tbl>
    <w:p w:rsidR="008249C5" w:rsidRDefault="008249C5" w:rsidP="008249C5">
      <w:pPr>
        <w:ind w:left="720"/>
        <w:rPr>
          <w:b/>
        </w:rPr>
      </w:pPr>
    </w:p>
    <w:p w:rsidR="00D77262" w:rsidRDefault="00D77262" w:rsidP="008249C5">
      <w:pPr>
        <w:ind w:left="720"/>
        <w:rPr>
          <w:b/>
        </w:rPr>
      </w:pPr>
    </w:p>
    <w:p w:rsidR="00FD6EAE" w:rsidRPr="00FD6EAE" w:rsidRDefault="00907065" w:rsidP="00505387">
      <w:pPr>
        <w:numPr>
          <w:ilvl w:val="0"/>
          <w:numId w:val="4"/>
        </w:numPr>
        <w:rPr>
          <w:b/>
        </w:rPr>
      </w:pPr>
      <w:r>
        <w:rPr>
          <w:b/>
          <w:u w:val="single"/>
        </w:rPr>
        <w:t>P</w:t>
      </w:r>
      <w:r w:rsidR="00FD6EAE" w:rsidRPr="00FD6EAE">
        <w:rPr>
          <w:b/>
          <w:u w:val="single"/>
        </w:rPr>
        <w:t xml:space="preserve">otential Review </w:t>
      </w:r>
      <w:r w:rsidR="00D77262">
        <w:rPr>
          <w:b/>
          <w:u w:val="single"/>
        </w:rPr>
        <w:t>Groups</w:t>
      </w:r>
      <w:r w:rsidR="00FD6EAE" w:rsidRPr="00FD6EAE">
        <w:rPr>
          <w:b/>
          <w:u w:val="single"/>
        </w:rPr>
        <w:t xml:space="preserve"> – to be established when resources allow </w:t>
      </w:r>
    </w:p>
    <w:p w:rsidR="00FD6EAE" w:rsidRPr="00FD6EAE" w:rsidRDefault="00FD6EAE" w:rsidP="00FD6EAE">
      <w:pPr>
        <w:ind w:left="720"/>
        <w:contextualSpacing/>
        <w:rPr>
          <w:b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481"/>
      </w:tblGrid>
      <w:tr w:rsidR="002128BE" w:rsidRPr="00FD6EAE" w:rsidTr="00F20CDD">
        <w:trPr>
          <w:trHeight w:val="5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E" w:rsidRPr="00FD6EAE" w:rsidRDefault="002128BE" w:rsidP="00FD6EAE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E" w:rsidRPr="00FD6EAE" w:rsidRDefault="002128BE" w:rsidP="00FD6EAE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2128BE" w:rsidRPr="00FD6EAE" w:rsidTr="00F20CDD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E1210B">
            <w:r>
              <w:t>Neighbourhood working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E1210B">
            <w:r>
              <w:t>Not started – suggest this is carried over into 2015-16.</w:t>
            </w:r>
          </w:p>
        </w:tc>
      </w:tr>
    </w:tbl>
    <w:p w:rsidR="00FD6EAE" w:rsidRDefault="00FD6EAE" w:rsidP="00FD6EAE"/>
    <w:p w:rsidR="00DD450D" w:rsidRPr="00FD6EAE" w:rsidRDefault="00DD450D" w:rsidP="00FD6EAE"/>
    <w:p w:rsidR="00FD6EAE" w:rsidRPr="00FD6EAE" w:rsidRDefault="00FD6EAE" w:rsidP="00FD6EAE">
      <w:pPr>
        <w:rPr>
          <w:b/>
        </w:rPr>
      </w:pPr>
      <w:r w:rsidRPr="00FD6EAE">
        <w:rPr>
          <w:b/>
        </w:rPr>
        <w:t>Indicative scrutiny review timeline 2014-2015 (does not include ad hoc review panels)</w:t>
      </w:r>
    </w:p>
    <w:p w:rsidR="00FD6EAE" w:rsidRPr="00FD6EAE" w:rsidRDefault="00FD6EAE" w:rsidP="00FD6EAE"/>
    <w:tbl>
      <w:tblPr>
        <w:tblW w:w="138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978"/>
        <w:gridCol w:w="979"/>
        <w:gridCol w:w="980"/>
        <w:gridCol w:w="979"/>
        <w:gridCol w:w="979"/>
        <w:gridCol w:w="980"/>
        <w:gridCol w:w="979"/>
        <w:gridCol w:w="979"/>
        <w:gridCol w:w="980"/>
        <w:gridCol w:w="979"/>
        <w:gridCol w:w="980"/>
      </w:tblGrid>
      <w:tr w:rsidR="00FD6EAE" w:rsidRPr="00FD6EAE" w:rsidTr="00F20CDD">
        <w:trPr>
          <w:trHeight w:val="27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Review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 xml:space="preserve">Sept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Oct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Nov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Dec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Jan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Feb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Mar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April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May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June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rFonts w:eastAsia="Calibri" w:cs="Arial"/>
                <w:b/>
              </w:rPr>
              <w:t>July</w:t>
            </w:r>
          </w:p>
        </w:tc>
      </w:tr>
      <w:tr w:rsidR="00FD6EAE" w:rsidRPr="00FD6EAE" w:rsidTr="00F20CDD">
        <w:trPr>
          <w:trHeight w:val="27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r w:rsidRPr="00FD6EAE">
              <w:rPr>
                <w:rFonts w:eastAsia="Calibri" w:cs="Arial"/>
              </w:rPr>
              <w:t>Budget Scrutiny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</w:tr>
      <w:tr w:rsidR="00FD6EAE" w:rsidRPr="00FD6EAE" w:rsidTr="00F20CDD">
        <w:trPr>
          <w:trHeight w:val="27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r w:rsidRPr="00FD6EAE">
              <w:rPr>
                <w:rFonts w:eastAsia="Calibri" w:cs="Arial"/>
              </w:rPr>
              <w:t>Inequalities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</w:tr>
      <w:tr w:rsidR="00FD6EAE" w:rsidRPr="00FD6EAE" w:rsidTr="00F20CDD">
        <w:trPr>
          <w:trHeight w:val="27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543EB6" w:rsidP="00A05DC2">
            <w:r>
              <w:rPr>
                <w:rFonts w:eastAsia="Calibri" w:cs="Arial"/>
              </w:rPr>
              <w:t>Local economy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</w:tr>
      <w:tr w:rsidR="00FD6EAE" w:rsidRPr="00FD6EAE" w:rsidTr="00F20CDD">
        <w:trPr>
          <w:trHeight w:val="2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27409C" w:rsidP="00FD6EAE">
            <w:r>
              <w:t>Cycling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D6EAE" w:rsidRPr="00FD6EAE" w:rsidRDefault="00FD6EAE" w:rsidP="00FD6EAE"/>
        </w:tc>
      </w:tr>
    </w:tbl>
    <w:p w:rsidR="00FD6EAE" w:rsidRPr="00FD6EAE" w:rsidRDefault="00FD6EAE" w:rsidP="00FD6EAE"/>
    <w:p w:rsidR="00FD6EAE" w:rsidRPr="00FD6EAE" w:rsidRDefault="00FD6EAE" w:rsidP="00FD6EAE"/>
    <w:tbl>
      <w:tblPr>
        <w:tblW w:w="0" w:type="auto"/>
        <w:tblInd w:w="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</w:tblGrid>
      <w:tr w:rsidR="00FD6EAE" w:rsidRPr="00FD6EAE" w:rsidTr="00543E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FD6EAE" w:rsidRPr="00FD6EAE" w:rsidRDefault="00FD6EAE" w:rsidP="00FD6EA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r w:rsidRPr="00FD6EAE">
              <w:rPr>
                <w:rFonts w:eastAsia="Calibri" w:cs="Arial"/>
              </w:rPr>
              <w:t>Scoping</w:t>
            </w:r>
          </w:p>
        </w:tc>
      </w:tr>
      <w:tr w:rsidR="00FD6EAE" w:rsidRPr="00FD6EAE" w:rsidTr="00543E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FD6EAE" w:rsidRPr="00FD6EAE" w:rsidRDefault="00FD6EAE" w:rsidP="00FD6EA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r w:rsidRPr="00FD6EAE">
              <w:rPr>
                <w:rFonts w:eastAsia="Calibri" w:cs="Arial"/>
              </w:rPr>
              <w:t>Evidence gathering and review</w:t>
            </w:r>
          </w:p>
        </w:tc>
      </w:tr>
      <w:tr w:rsidR="00FD6EAE" w:rsidRPr="00FD6EAE" w:rsidTr="00543E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D6EAE" w:rsidRPr="00FD6EAE" w:rsidRDefault="00FD6EAE" w:rsidP="00FD6EA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AE" w:rsidRPr="00FD6EAE" w:rsidRDefault="00FD6EAE" w:rsidP="00FD6EAE">
            <w:r w:rsidRPr="00FD6EAE">
              <w:rPr>
                <w:rFonts w:eastAsia="Calibri" w:cs="Arial"/>
              </w:rPr>
              <w:t>Reporting</w:t>
            </w:r>
          </w:p>
        </w:tc>
      </w:tr>
    </w:tbl>
    <w:p w:rsidR="00D634B6" w:rsidRDefault="00D634B6" w:rsidP="00D634B6">
      <w:pPr>
        <w:ind w:left="720"/>
        <w:rPr>
          <w:b/>
          <w:u w:val="single"/>
        </w:rPr>
      </w:pPr>
    </w:p>
    <w:p w:rsidR="00D634B6" w:rsidRDefault="00D634B6" w:rsidP="00D634B6">
      <w:pPr>
        <w:ind w:left="720"/>
        <w:rPr>
          <w:b/>
          <w:u w:val="single"/>
        </w:rPr>
      </w:pPr>
    </w:p>
    <w:p w:rsidR="00AC5293" w:rsidRDefault="00AC5293" w:rsidP="00D634B6">
      <w:pPr>
        <w:ind w:left="720"/>
        <w:rPr>
          <w:b/>
          <w:u w:val="single"/>
        </w:rPr>
      </w:pPr>
    </w:p>
    <w:p w:rsidR="00AC5293" w:rsidRDefault="00AC5293" w:rsidP="00D634B6">
      <w:pPr>
        <w:ind w:left="720"/>
        <w:rPr>
          <w:b/>
          <w:u w:val="single"/>
        </w:rPr>
      </w:pPr>
    </w:p>
    <w:p w:rsidR="00A91DC7" w:rsidRDefault="00A91DC7" w:rsidP="00D634B6">
      <w:pPr>
        <w:ind w:left="720"/>
        <w:rPr>
          <w:b/>
          <w:u w:val="single"/>
        </w:rPr>
      </w:pPr>
    </w:p>
    <w:p w:rsidR="00BA4AA1" w:rsidRDefault="00BA4AA1" w:rsidP="00D634B6">
      <w:pPr>
        <w:ind w:left="720"/>
        <w:rPr>
          <w:b/>
          <w:u w:val="single"/>
        </w:rPr>
      </w:pPr>
    </w:p>
    <w:p w:rsidR="00AC5293" w:rsidRDefault="00AC5293" w:rsidP="00D634B6">
      <w:pPr>
        <w:ind w:left="720"/>
        <w:rPr>
          <w:b/>
          <w:u w:val="single"/>
        </w:rPr>
      </w:pPr>
    </w:p>
    <w:p w:rsidR="00B763D0" w:rsidRDefault="00B763D0" w:rsidP="00D634B6">
      <w:pPr>
        <w:ind w:left="720"/>
        <w:rPr>
          <w:b/>
          <w:u w:val="single"/>
        </w:rPr>
      </w:pPr>
    </w:p>
    <w:p w:rsidR="00FD6EAE" w:rsidRPr="00FD6EAE" w:rsidRDefault="00FD6EAE" w:rsidP="00505387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Items for Committee meetings (in no particular order)</w:t>
      </w:r>
    </w:p>
    <w:p w:rsidR="00FD6EAE" w:rsidRPr="00FD6EAE" w:rsidRDefault="00FD6EAE" w:rsidP="00FD6EAE"/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13"/>
      </w:tblGrid>
      <w:tr w:rsidR="002128BE" w:rsidRPr="00FD6EAE" w:rsidTr="00F20CDD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E" w:rsidRPr="00FD6EAE" w:rsidRDefault="002128BE" w:rsidP="00FD6EAE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E" w:rsidRPr="00FD6EAE" w:rsidRDefault="002128BE" w:rsidP="00FD6EAE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Discretionary Housing Payments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2128BE">
            <w:r>
              <w:t>Completed</w:t>
            </w:r>
            <w:r w:rsidR="00CB0438">
              <w:t xml:space="preserve"> – carry forward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2128BE">
            <w:pPr>
              <w:rPr>
                <w:b/>
              </w:rPr>
            </w:pPr>
            <w:r w:rsidRPr="00FD6EAE">
              <w:t>Performance monitoring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2128BE">
            <w:r w:rsidRPr="002128BE"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Educational attainment investment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510C42">
            <w:r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pPr>
              <w:rPr>
                <w:b/>
              </w:rPr>
            </w:pPr>
            <w:r w:rsidRPr="00FD6EAE">
              <w:t>Fusion Lifestyle contract performance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510C42">
            <w:r w:rsidRPr="002128BE"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Research on the effects of welfare reform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510C42">
            <w:r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Clean streets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510C42">
            <w:r w:rsidRPr="002128BE"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Living Wage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510C42">
            <w:r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 xml:space="preserve">New controls over anti-social behaviour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510C42">
            <w:r w:rsidRPr="002128BE"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Low Carbon Oxford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2128BE">
            <w:r>
              <w:t>Carried forward – item scheduled for 2 July 2015 Finance Panel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Community and Neighbourhood services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510C42">
            <w:r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Activities for older residents and preventing isolation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510C42">
            <w:r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Individual voter registration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510C42">
            <w:r w:rsidRPr="002128BE">
              <w:t>Completed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Taxi Licencing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2128BE">
            <w:r>
              <w:t>Carried forward – item scheduled for 30 June 2015</w:t>
            </w:r>
            <w:r w:rsidR="00D77262">
              <w:t xml:space="preserve"> Scrutiny Committee</w:t>
            </w:r>
          </w:p>
        </w:tc>
      </w:tr>
      <w:tr w:rsidR="002128BE" w:rsidRPr="00FD6EAE" w:rsidTr="00F20CD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Pr="00FD6EAE" w:rsidRDefault="002128BE" w:rsidP="00FD6EAE">
            <w:r w:rsidRPr="00FD6EAE">
              <w:t>Forward Plan items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128BE" w:rsidP="002128BE">
            <w:r w:rsidRPr="002128BE">
              <w:t>Completed</w:t>
            </w:r>
          </w:p>
        </w:tc>
      </w:tr>
    </w:tbl>
    <w:p w:rsidR="00907065" w:rsidRDefault="00907065" w:rsidP="00907065">
      <w:pPr>
        <w:ind w:left="720"/>
        <w:rPr>
          <w:b/>
          <w:u w:val="single"/>
        </w:rPr>
      </w:pPr>
    </w:p>
    <w:p w:rsidR="002F1A6E" w:rsidRDefault="002F1A6E" w:rsidP="00907065">
      <w:pPr>
        <w:ind w:left="720"/>
        <w:rPr>
          <w:b/>
          <w:u w:val="single"/>
        </w:rPr>
      </w:pPr>
    </w:p>
    <w:p w:rsidR="002F1A6E" w:rsidRDefault="002F1A6E" w:rsidP="00907065">
      <w:pPr>
        <w:ind w:left="720"/>
        <w:rPr>
          <w:b/>
          <w:u w:val="single"/>
        </w:rPr>
      </w:pPr>
    </w:p>
    <w:p w:rsidR="002F1A6E" w:rsidRDefault="002F1A6E" w:rsidP="00907065">
      <w:pPr>
        <w:ind w:left="720"/>
        <w:rPr>
          <w:b/>
          <w:u w:val="single"/>
        </w:rPr>
      </w:pPr>
    </w:p>
    <w:p w:rsidR="002F1A6E" w:rsidRDefault="002F1A6E" w:rsidP="00907065">
      <w:pPr>
        <w:ind w:left="720"/>
        <w:rPr>
          <w:b/>
          <w:u w:val="single"/>
        </w:rPr>
      </w:pPr>
    </w:p>
    <w:p w:rsidR="002F1A6E" w:rsidRDefault="002F1A6E" w:rsidP="00907065">
      <w:pPr>
        <w:ind w:left="720"/>
        <w:rPr>
          <w:b/>
          <w:u w:val="single"/>
        </w:rPr>
      </w:pPr>
    </w:p>
    <w:p w:rsidR="002F1A6E" w:rsidRDefault="002F1A6E" w:rsidP="00907065">
      <w:pPr>
        <w:ind w:left="720"/>
        <w:rPr>
          <w:b/>
          <w:u w:val="single"/>
        </w:rPr>
      </w:pPr>
    </w:p>
    <w:p w:rsidR="002F1A6E" w:rsidRDefault="002F1A6E" w:rsidP="00907065">
      <w:pPr>
        <w:ind w:left="720"/>
        <w:rPr>
          <w:b/>
          <w:u w:val="single"/>
        </w:rPr>
      </w:pPr>
    </w:p>
    <w:p w:rsidR="002F1A6E" w:rsidRDefault="002F1A6E" w:rsidP="00907065">
      <w:pPr>
        <w:ind w:left="720"/>
        <w:rPr>
          <w:b/>
          <w:u w:val="single"/>
        </w:rPr>
      </w:pPr>
    </w:p>
    <w:p w:rsidR="00CE04CC" w:rsidRDefault="00CE04CC" w:rsidP="00907065">
      <w:pPr>
        <w:ind w:left="720"/>
        <w:rPr>
          <w:b/>
          <w:u w:val="single"/>
        </w:rPr>
      </w:pPr>
    </w:p>
    <w:p w:rsidR="00F20CDD" w:rsidRDefault="00F20CDD" w:rsidP="00907065">
      <w:pPr>
        <w:ind w:left="720"/>
        <w:rPr>
          <w:b/>
          <w:u w:val="single"/>
        </w:rPr>
      </w:pPr>
    </w:p>
    <w:p w:rsidR="00F20CDD" w:rsidRDefault="00F20CDD" w:rsidP="00907065">
      <w:pPr>
        <w:ind w:left="720"/>
        <w:rPr>
          <w:b/>
          <w:u w:val="single"/>
        </w:rPr>
      </w:pPr>
    </w:p>
    <w:p w:rsidR="00FD6EAE" w:rsidRPr="00FD6EAE" w:rsidRDefault="00FD6EAE" w:rsidP="00505387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Draft Scrutiny Committee Agenda Schedule</w:t>
      </w:r>
    </w:p>
    <w:p w:rsidR="00FD6EAE" w:rsidRPr="00FD6EAE" w:rsidRDefault="00FD6EAE" w:rsidP="00FD6EAE">
      <w:pPr>
        <w:rPr>
          <w:b/>
          <w:u w:val="single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088"/>
        <w:gridCol w:w="4252"/>
      </w:tblGrid>
      <w:tr w:rsidR="00FD6EAE" w:rsidRPr="00FD6EAE" w:rsidTr="00F20CDD">
        <w:trPr>
          <w:trHeight w:val="6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B54524" w:rsidP="00B5452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Agenda 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543EB6">
            <w:pPr>
              <w:rPr>
                <w:b/>
              </w:rPr>
            </w:pPr>
            <w:r w:rsidRPr="00FD6EAE">
              <w:rPr>
                <w:b/>
              </w:rPr>
              <w:t xml:space="preserve">Lead </w:t>
            </w:r>
            <w:r w:rsidR="00A55C37">
              <w:rPr>
                <w:b/>
              </w:rPr>
              <w:t xml:space="preserve">Member / </w:t>
            </w:r>
            <w:r w:rsidRPr="00FD6EAE">
              <w:rPr>
                <w:b/>
              </w:rPr>
              <w:t>Officer(s)</w:t>
            </w:r>
          </w:p>
        </w:tc>
      </w:tr>
      <w:tr w:rsidR="002D2204" w:rsidRPr="002D2204" w:rsidTr="00F20CD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4" w:rsidRPr="002D2204" w:rsidRDefault="002D2204" w:rsidP="00B54524">
            <w:pPr>
              <w:rPr>
                <w:i/>
              </w:rPr>
            </w:pPr>
            <w:r>
              <w:rPr>
                <w:i/>
              </w:rPr>
              <w:t>2 June 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4" w:rsidRDefault="002D2204" w:rsidP="002D2204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proofErr w:type="spellStart"/>
            <w:r>
              <w:rPr>
                <w:i/>
              </w:rPr>
              <w:t>Oxfutures</w:t>
            </w:r>
            <w:proofErr w:type="spellEnd"/>
          </w:p>
          <w:p w:rsidR="00E74176" w:rsidRDefault="00E74176" w:rsidP="00E74176">
            <w:pPr>
              <w:pStyle w:val="ListParagraph"/>
              <w:rPr>
                <w:i/>
              </w:rPr>
            </w:pPr>
          </w:p>
          <w:p w:rsidR="002D2204" w:rsidRDefault="00E74176" w:rsidP="002D2204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Proposed Lease and Monitoring Arrangements for Community Centres (pre-scrutiny)</w:t>
            </w:r>
          </w:p>
          <w:p w:rsidR="00307935" w:rsidRPr="00307935" w:rsidRDefault="00307935" w:rsidP="00307935">
            <w:pPr>
              <w:pStyle w:val="ListParagraph"/>
              <w:rPr>
                <w:i/>
              </w:rPr>
            </w:pPr>
          </w:p>
          <w:p w:rsidR="00307935" w:rsidRDefault="00307935" w:rsidP="00307935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r w:rsidRPr="00307935">
              <w:rPr>
                <w:i/>
              </w:rPr>
              <w:t>Oxford Railway Station Redevelopment</w:t>
            </w:r>
            <w:r w:rsidR="00B075B4">
              <w:rPr>
                <w:i/>
              </w:rPr>
              <w:t xml:space="preserve"> (pre-scrutiny)</w:t>
            </w:r>
          </w:p>
          <w:p w:rsidR="00B54524" w:rsidRPr="00B54524" w:rsidRDefault="00B54524" w:rsidP="00B54524">
            <w:pPr>
              <w:pStyle w:val="ListParagraph"/>
              <w:rPr>
                <w:i/>
              </w:rPr>
            </w:pPr>
          </w:p>
          <w:p w:rsidR="00B54524" w:rsidRPr="00307935" w:rsidRDefault="00B54524" w:rsidP="00307935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Local Economy scrutiny report</w:t>
            </w:r>
          </w:p>
          <w:p w:rsidR="00E74176" w:rsidRPr="00E96C43" w:rsidRDefault="00E74176" w:rsidP="00E96C43">
            <w:pPr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4" w:rsidRDefault="00E74176" w:rsidP="00FD6EAE">
            <w:pPr>
              <w:rPr>
                <w:i/>
              </w:rPr>
            </w:pPr>
            <w:r>
              <w:rPr>
                <w:i/>
              </w:rPr>
              <w:t>Mairi Brookes</w:t>
            </w:r>
          </w:p>
          <w:p w:rsidR="00E74176" w:rsidRDefault="00E74176" w:rsidP="00FD6EAE">
            <w:pPr>
              <w:rPr>
                <w:i/>
              </w:rPr>
            </w:pPr>
          </w:p>
          <w:p w:rsidR="00E74176" w:rsidRDefault="00E74176" w:rsidP="00FD6EAE">
            <w:pPr>
              <w:rPr>
                <w:i/>
              </w:rPr>
            </w:pPr>
            <w:r>
              <w:rPr>
                <w:i/>
              </w:rPr>
              <w:t xml:space="preserve">Mark </w:t>
            </w:r>
            <w:proofErr w:type="spellStart"/>
            <w:r>
              <w:rPr>
                <w:i/>
              </w:rPr>
              <w:t>Spriggs</w:t>
            </w:r>
            <w:proofErr w:type="spellEnd"/>
          </w:p>
          <w:p w:rsidR="00E74176" w:rsidRDefault="00E74176" w:rsidP="00FD6EAE">
            <w:pPr>
              <w:rPr>
                <w:i/>
              </w:rPr>
            </w:pPr>
          </w:p>
          <w:p w:rsidR="00E74176" w:rsidRDefault="00E74176" w:rsidP="00FD6EAE">
            <w:pPr>
              <w:rPr>
                <w:i/>
              </w:rPr>
            </w:pPr>
          </w:p>
          <w:p w:rsidR="00307935" w:rsidRDefault="00307935" w:rsidP="00FD6EAE">
            <w:pPr>
              <w:rPr>
                <w:i/>
              </w:rPr>
            </w:pPr>
            <w:r>
              <w:rPr>
                <w:i/>
              </w:rPr>
              <w:t>Fiona Piercy</w:t>
            </w:r>
          </w:p>
          <w:p w:rsidR="00B54524" w:rsidRDefault="00B54524" w:rsidP="00FD6EAE">
            <w:pPr>
              <w:rPr>
                <w:i/>
              </w:rPr>
            </w:pPr>
          </w:p>
          <w:p w:rsidR="00B54524" w:rsidRPr="002D2204" w:rsidRDefault="00B54524" w:rsidP="00FD6EAE">
            <w:pPr>
              <w:rPr>
                <w:i/>
              </w:rPr>
            </w:pPr>
            <w:r>
              <w:rPr>
                <w:i/>
              </w:rPr>
              <w:t>Cllr James Fry</w:t>
            </w:r>
          </w:p>
        </w:tc>
      </w:tr>
      <w:tr w:rsidR="002D2204" w:rsidRPr="002D2204" w:rsidTr="00F20CD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4" w:rsidRPr="002D2204" w:rsidRDefault="002D2204" w:rsidP="00FD6EAE">
            <w:pPr>
              <w:rPr>
                <w:i/>
              </w:rPr>
            </w:pPr>
            <w:r>
              <w:rPr>
                <w:i/>
              </w:rPr>
              <w:t>30 June 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4" w:rsidRDefault="002D2204" w:rsidP="002D2204">
            <w:pPr>
              <w:pStyle w:val="ListParagraph"/>
              <w:numPr>
                <w:ilvl w:val="0"/>
                <w:numId w:val="38"/>
              </w:numPr>
              <w:rPr>
                <w:i/>
              </w:rPr>
            </w:pPr>
            <w:r>
              <w:rPr>
                <w:i/>
              </w:rPr>
              <w:t>Taxi licencing</w:t>
            </w:r>
          </w:p>
          <w:p w:rsidR="002D2204" w:rsidRPr="002D2204" w:rsidRDefault="002D2204" w:rsidP="002D2204">
            <w:pPr>
              <w:pStyle w:val="ListParagraph"/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4" w:rsidRPr="002D2204" w:rsidRDefault="00E74176" w:rsidP="00FD6EAE">
            <w:pPr>
              <w:rPr>
                <w:i/>
              </w:rPr>
            </w:pPr>
            <w:r>
              <w:rPr>
                <w:i/>
              </w:rPr>
              <w:t>Julian Alison</w:t>
            </w:r>
          </w:p>
        </w:tc>
      </w:tr>
    </w:tbl>
    <w:p w:rsidR="00FB41AE" w:rsidRDefault="00FB41AE" w:rsidP="00543EB6">
      <w:pPr>
        <w:tabs>
          <w:tab w:val="left" w:pos="1790"/>
        </w:tabs>
        <w:rPr>
          <w:b/>
          <w:i/>
        </w:rPr>
      </w:pPr>
    </w:p>
    <w:p w:rsidR="00543EB6" w:rsidRDefault="00F20CDD" w:rsidP="00E74176">
      <w:pPr>
        <w:tabs>
          <w:tab w:val="left" w:pos="1790"/>
        </w:tabs>
        <w:rPr>
          <w:b/>
          <w:i/>
        </w:rPr>
      </w:pPr>
      <w:r>
        <w:rPr>
          <w:b/>
          <w:i/>
        </w:rPr>
        <w:t xml:space="preserve">        </w:t>
      </w:r>
      <w:r w:rsidR="002F1A6E">
        <w:rPr>
          <w:b/>
          <w:i/>
        </w:rPr>
        <w:t>Further</w:t>
      </w:r>
      <w:r w:rsidR="00543EB6">
        <w:rPr>
          <w:b/>
          <w:i/>
        </w:rPr>
        <w:t xml:space="preserve"> </w:t>
      </w:r>
      <w:r>
        <w:rPr>
          <w:b/>
          <w:i/>
        </w:rPr>
        <w:t>dates</w:t>
      </w:r>
      <w:r w:rsidR="00543EB6">
        <w:rPr>
          <w:b/>
          <w:i/>
        </w:rPr>
        <w:t xml:space="preserve"> </w:t>
      </w:r>
      <w:proofErr w:type="spellStart"/>
      <w:r w:rsidR="00543EB6">
        <w:rPr>
          <w:b/>
          <w:i/>
        </w:rPr>
        <w:t>dates</w:t>
      </w:r>
      <w:proofErr w:type="spellEnd"/>
      <w:r w:rsidR="00543EB6">
        <w:rPr>
          <w:b/>
          <w:i/>
        </w:rPr>
        <w:t>: 7 September</w:t>
      </w:r>
      <w:r w:rsidR="00190A6D">
        <w:rPr>
          <w:b/>
          <w:i/>
        </w:rPr>
        <w:t xml:space="preserve">, </w:t>
      </w:r>
      <w:r w:rsidR="00543EB6">
        <w:rPr>
          <w:b/>
          <w:i/>
        </w:rPr>
        <w:t>6 October</w:t>
      </w:r>
      <w:r w:rsidR="00190A6D">
        <w:rPr>
          <w:b/>
          <w:i/>
        </w:rPr>
        <w:t xml:space="preserve">, </w:t>
      </w:r>
      <w:r w:rsidR="00543EB6">
        <w:rPr>
          <w:b/>
          <w:i/>
        </w:rPr>
        <w:t>2 November</w:t>
      </w:r>
      <w:r w:rsidR="00190A6D">
        <w:rPr>
          <w:b/>
          <w:i/>
        </w:rPr>
        <w:t xml:space="preserve">, </w:t>
      </w:r>
      <w:r w:rsidR="00543EB6">
        <w:rPr>
          <w:b/>
          <w:i/>
        </w:rPr>
        <w:t>8 December</w:t>
      </w:r>
      <w:r w:rsidR="00190A6D">
        <w:rPr>
          <w:b/>
          <w:i/>
        </w:rPr>
        <w:t xml:space="preserve">, </w:t>
      </w:r>
      <w:r w:rsidR="00543EB6">
        <w:rPr>
          <w:b/>
          <w:i/>
        </w:rPr>
        <w:t>12 January</w:t>
      </w:r>
      <w:r w:rsidR="00190A6D">
        <w:rPr>
          <w:b/>
          <w:i/>
        </w:rPr>
        <w:t xml:space="preserve">, </w:t>
      </w:r>
      <w:r w:rsidR="00543EB6">
        <w:rPr>
          <w:b/>
          <w:i/>
        </w:rPr>
        <w:t>2 February</w:t>
      </w:r>
      <w:r w:rsidR="00190A6D">
        <w:rPr>
          <w:b/>
          <w:i/>
        </w:rPr>
        <w:t xml:space="preserve">, </w:t>
      </w:r>
      <w:r w:rsidR="00543EB6">
        <w:rPr>
          <w:b/>
          <w:i/>
        </w:rPr>
        <w:t>7 March</w:t>
      </w:r>
      <w:r w:rsidR="00190A6D">
        <w:rPr>
          <w:b/>
          <w:i/>
        </w:rPr>
        <w:t xml:space="preserve">, </w:t>
      </w:r>
      <w:r w:rsidR="00543EB6">
        <w:rPr>
          <w:b/>
          <w:i/>
        </w:rPr>
        <w:t>5 April</w:t>
      </w:r>
    </w:p>
    <w:p w:rsidR="00BA7940" w:rsidRDefault="00BA7940" w:rsidP="00904310">
      <w:pPr>
        <w:ind w:left="720"/>
        <w:contextualSpacing/>
        <w:rPr>
          <w:b/>
          <w:u w:val="single"/>
        </w:rPr>
      </w:pPr>
    </w:p>
    <w:p w:rsidR="00FD6EAE" w:rsidRPr="00FD6EAE" w:rsidRDefault="00FD6EAE" w:rsidP="00505387">
      <w:pPr>
        <w:numPr>
          <w:ilvl w:val="0"/>
          <w:numId w:val="13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called in and Councillor calls for action</w:t>
      </w:r>
    </w:p>
    <w:p w:rsidR="00FD6EAE" w:rsidRPr="00FD6EAE" w:rsidRDefault="00FD6EAE" w:rsidP="00FD6EAE">
      <w:pPr>
        <w:ind w:left="720"/>
        <w:contextualSpacing/>
        <w:rPr>
          <w:b/>
          <w:u w:val="single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9497"/>
      </w:tblGrid>
      <w:tr w:rsidR="002128BE" w:rsidRPr="00FD6EAE" w:rsidTr="00F20CDD">
        <w:trPr>
          <w:trHeight w:val="6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E" w:rsidRPr="00FD6EAE" w:rsidRDefault="002128BE" w:rsidP="00510C42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E" w:rsidRPr="00FD6EAE" w:rsidRDefault="002128BE" w:rsidP="00510C42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2128BE" w:rsidRPr="00FD6EAE" w:rsidTr="00F20C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Default="002128BE" w:rsidP="00510C42">
            <w:r w:rsidRPr="002128BE">
              <w:t xml:space="preserve">Sale of Temple </w:t>
            </w:r>
            <w:proofErr w:type="spellStart"/>
            <w:r w:rsidRPr="002128BE">
              <w:t>Cowley</w:t>
            </w:r>
            <w:proofErr w:type="spellEnd"/>
            <w:r w:rsidRPr="002128BE">
              <w:t xml:space="preserve"> Pool</w:t>
            </w:r>
          </w:p>
          <w:p w:rsidR="002128BE" w:rsidRPr="00FD6EAE" w:rsidRDefault="002128BE" w:rsidP="00510C42"/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F1A6E" w:rsidP="00510C42">
            <w:r w:rsidRPr="002F1A6E">
              <w:t>Completed</w:t>
            </w:r>
          </w:p>
        </w:tc>
      </w:tr>
    </w:tbl>
    <w:p w:rsidR="00BA7940" w:rsidRPr="00FD6EAE" w:rsidRDefault="00BA7940" w:rsidP="00FD6EAE">
      <w:pPr>
        <w:ind w:left="720"/>
        <w:contextualSpacing/>
      </w:pPr>
    </w:p>
    <w:p w:rsidR="00FD6EAE" w:rsidRPr="00FD6EAE" w:rsidRDefault="00FD6EAE" w:rsidP="00505387">
      <w:pPr>
        <w:numPr>
          <w:ilvl w:val="0"/>
          <w:numId w:val="13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referred to Scrutiny by Council</w:t>
      </w:r>
    </w:p>
    <w:p w:rsidR="00FD6EAE" w:rsidRPr="00FD6EAE" w:rsidRDefault="00FD6EAE" w:rsidP="00FD6EAE">
      <w:pPr>
        <w:ind w:left="720"/>
        <w:contextualSpacing/>
        <w:rPr>
          <w:b/>
          <w:u w:val="single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9497"/>
      </w:tblGrid>
      <w:tr w:rsidR="002128BE" w:rsidRPr="00FD6EAE" w:rsidTr="00F20CDD">
        <w:trPr>
          <w:trHeight w:val="6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E" w:rsidRPr="00FD6EAE" w:rsidRDefault="002128BE" w:rsidP="00510C42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E" w:rsidRPr="00FD6EAE" w:rsidRDefault="002F1A6E" w:rsidP="00510C42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2128BE" w:rsidRPr="00FD6EAE" w:rsidTr="00F20C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E" w:rsidRDefault="002128BE" w:rsidP="002128BE">
            <w:r>
              <w:t>Corporate peer challenge</w:t>
            </w:r>
          </w:p>
          <w:p w:rsidR="002128BE" w:rsidRPr="00FD6EAE" w:rsidRDefault="002128BE" w:rsidP="002128BE"/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E" w:rsidRPr="00FD6EAE" w:rsidRDefault="002F1A6E" w:rsidP="00510C42">
            <w:r w:rsidRPr="002F1A6E">
              <w:t>Completed</w:t>
            </w:r>
          </w:p>
        </w:tc>
      </w:tr>
    </w:tbl>
    <w:p w:rsidR="00FD6EAE" w:rsidRPr="00FD6EAE" w:rsidRDefault="002128BE" w:rsidP="00FD6EAE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>
        <w:rPr>
          <w:rFonts w:eastAsia="Calibri" w:cs="Arial"/>
          <w:b/>
          <w:sz w:val="28"/>
        </w:rPr>
        <w:lastRenderedPageBreak/>
        <w:t>Ap</w:t>
      </w:r>
      <w:r w:rsidR="00FD6EAE" w:rsidRPr="00FD6EAE">
        <w:rPr>
          <w:rFonts w:eastAsia="Calibri" w:cs="Arial"/>
          <w:b/>
          <w:sz w:val="28"/>
        </w:rPr>
        <w:t>pendix 1 - Finance Panel work programme 2014-15</w:t>
      </w:r>
    </w:p>
    <w:p w:rsidR="00FD6EAE" w:rsidRPr="00FD6EAE" w:rsidRDefault="00FD6EAE" w:rsidP="00FD6EAE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FD6EAE" w:rsidRPr="00FD6EAE" w:rsidRDefault="00FD6EAE" w:rsidP="00FD6EAE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FD6EAE" w:rsidRPr="00FD6EAE" w:rsidRDefault="00FD6EAE" w:rsidP="00FD6EAE">
      <w:pPr>
        <w:tabs>
          <w:tab w:val="left" w:pos="5805"/>
        </w:tabs>
        <w:rPr>
          <w:rFonts w:eastAsia="Calibri" w:cs="Arial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0914"/>
      </w:tblGrid>
      <w:tr w:rsidR="00FD6EAE" w:rsidRPr="00FD6EAE" w:rsidTr="00F20CD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2F1A6E" w:rsidP="00FD6EAE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FD6EAE" w:rsidRPr="00FD6EAE" w:rsidTr="00F20C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Budget Scrutiny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 w:rsidRPr="002F1A6E">
              <w:t>Completed</w:t>
            </w:r>
          </w:p>
        </w:tc>
      </w:tr>
      <w:tr w:rsidR="00FD6EAE" w:rsidRPr="00FD6EAE" w:rsidTr="00F20C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Budget monitoring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 w:rsidRPr="002F1A6E">
              <w:t>Completed</w:t>
            </w:r>
          </w:p>
        </w:tc>
      </w:tr>
      <w:tr w:rsidR="00FD6EAE" w:rsidRPr="00FD6EAE" w:rsidTr="00F20C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Treasury Management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 w:rsidRPr="002F1A6E">
              <w:t>Completed</w:t>
            </w:r>
          </w:p>
        </w:tc>
      </w:tr>
      <w:tr w:rsidR="00FD6EAE" w:rsidRPr="00FD6EAE" w:rsidTr="00F20C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Capital process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 w:rsidRPr="002F1A6E">
              <w:t>Completed</w:t>
            </w:r>
          </w:p>
        </w:tc>
      </w:tr>
      <w:tr w:rsidR="00FD6EAE" w:rsidRPr="00FD6EAE" w:rsidTr="00F20C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Maximising European funding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 w:rsidRPr="002F1A6E">
              <w:t>Completed</w:t>
            </w:r>
          </w:p>
        </w:tc>
      </w:tr>
      <w:tr w:rsidR="00FD6EAE" w:rsidRPr="00FD6EAE" w:rsidTr="00F20C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43026D">
            <w:r w:rsidRPr="00FD6EAE">
              <w:t xml:space="preserve">Municipal </w:t>
            </w:r>
            <w:r w:rsidR="00E46A88">
              <w:t>/ Local bonds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43026D">
            <w:pPr>
              <w:ind w:left="60"/>
            </w:pPr>
            <w:r w:rsidRPr="002F1A6E">
              <w:t>Completed</w:t>
            </w:r>
          </w:p>
        </w:tc>
      </w:tr>
      <w:tr w:rsidR="00FD6EAE" w:rsidRPr="00FD6EAE" w:rsidTr="00F20C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Ethical investment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>
              <w:t>Considered in other topics</w:t>
            </w:r>
          </w:p>
        </w:tc>
      </w:tr>
      <w:tr w:rsidR="00FD6EAE" w:rsidRPr="00FD6EAE" w:rsidTr="00F20C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Council tax exemptions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>
              <w:t>None – carry forward</w:t>
            </w:r>
          </w:p>
        </w:tc>
      </w:tr>
    </w:tbl>
    <w:p w:rsidR="007C3B3E" w:rsidRDefault="007C3B3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825F7E" w:rsidRDefault="00825F7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F1A6E" w:rsidRDefault="002F1A6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FD6EAE" w:rsidRPr="00FD6EAE" w:rsidRDefault="00FD6EAE" w:rsidP="00FD6EAE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lastRenderedPageBreak/>
        <w:t>Draft Finance Panel agenda schedule</w:t>
      </w:r>
    </w:p>
    <w:p w:rsidR="00FD6EAE" w:rsidRPr="00FD6EAE" w:rsidRDefault="00FD6EAE" w:rsidP="00FD6EAE">
      <w:pPr>
        <w:tabs>
          <w:tab w:val="left" w:pos="5805"/>
        </w:tabs>
        <w:rPr>
          <w:rFonts w:eastAsia="Calibri" w:cs="Arial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95"/>
        <w:gridCol w:w="4536"/>
      </w:tblGrid>
      <w:tr w:rsidR="00FD6EAE" w:rsidRPr="00FD6EAE" w:rsidTr="00F20CDD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DF054D" w:rsidP="00FD6EAE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Date and room (all 5.</w:t>
            </w:r>
            <w:r w:rsidR="00FD6EAE" w:rsidRPr="00FD6EAE">
              <w:rPr>
                <w:rFonts w:eastAsia="Calibri" w:cs="Arial"/>
                <w:b/>
              </w:rPr>
              <w:t>30pm</w:t>
            </w:r>
            <w:r>
              <w:rPr>
                <w:rFonts w:eastAsia="Calibri" w:cs="Arial"/>
                <w:b/>
              </w:rPr>
              <w:t xml:space="preserve">, St. </w:t>
            </w:r>
            <w:proofErr w:type="spellStart"/>
            <w:r>
              <w:rPr>
                <w:rFonts w:eastAsia="Calibri" w:cs="Arial"/>
                <w:b/>
              </w:rPr>
              <w:t>Aldate’s</w:t>
            </w:r>
            <w:proofErr w:type="spellEnd"/>
            <w:r>
              <w:rPr>
                <w:rFonts w:eastAsia="Calibri" w:cs="Arial"/>
                <w:b/>
              </w:rPr>
              <w:t xml:space="preserve"> Room</w:t>
            </w:r>
            <w:r w:rsidR="00FD6EAE" w:rsidRPr="00FD6EAE">
              <w:rPr>
                <w:rFonts w:eastAsia="Calibri" w:cs="Arial"/>
                <w:b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D00D3D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Officer(s)</w:t>
            </w:r>
          </w:p>
        </w:tc>
      </w:tr>
      <w:tr w:rsidR="00DF054D" w:rsidRPr="00FD6EAE" w:rsidTr="00F20CD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4D" w:rsidRPr="00DF054D" w:rsidRDefault="00B54524" w:rsidP="00B5452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 April 2015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E" w:rsidRDefault="005D429E" w:rsidP="005D429E">
            <w:pPr>
              <w:pStyle w:val="ListParagraph"/>
              <w:numPr>
                <w:ilvl w:val="0"/>
                <w:numId w:val="24"/>
              </w:numPr>
              <w:rPr>
                <w:rFonts w:eastAsia="Calibri" w:cs="Arial"/>
              </w:rPr>
            </w:pPr>
            <w:r w:rsidRPr="005D429E">
              <w:rPr>
                <w:rFonts w:eastAsia="Calibri" w:cs="Arial"/>
              </w:rPr>
              <w:t>Budget monitoring – quarter 3</w:t>
            </w:r>
          </w:p>
          <w:p w:rsidR="00B839C4" w:rsidRPr="00B839C4" w:rsidRDefault="00B839C4" w:rsidP="00B839C4">
            <w:pPr>
              <w:pStyle w:val="ListParagraph"/>
              <w:rPr>
                <w:rFonts w:eastAsia="Calibri" w:cs="Arial"/>
              </w:rPr>
            </w:pPr>
          </w:p>
          <w:p w:rsidR="00E74176" w:rsidRDefault="00E74176" w:rsidP="005358BA">
            <w:pPr>
              <w:pStyle w:val="ListParagraph"/>
              <w:numPr>
                <w:ilvl w:val="0"/>
                <w:numId w:val="24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(pre-scrutiny)</w:t>
            </w:r>
          </w:p>
          <w:p w:rsidR="00E74176" w:rsidRPr="00E74176" w:rsidRDefault="00E74176" w:rsidP="00E74176">
            <w:pPr>
              <w:pStyle w:val="ListParagraph"/>
              <w:rPr>
                <w:rFonts w:eastAsia="Calibri" w:cs="Arial"/>
              </w:rPr>
            </w:pPr>
          </w:p>
          <w:p w:rsidR="005358BA" w:rsidRDefault="005358BA" w:rsidP="005358BA">
            <w:pPr>
              <w:pStyle w:val="ListParagraph"/>
              <w:numPr>
                <w:ilvl w:val="0"/>
                <w:numId w:val="24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Draft European Funding report</w:t>
            </w:r>
          </w:p>
          <w:p w:rsidR="005358BA" w:rsidRPr="005358BA" w:rsidRDefault="005358BA" w:rsidP="005358BA">
            <w:pPr>
              <w:rPr>
                <w:rFonts w:eastAsia="Calibri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E" w:rsidRDefault="005D429E" w:rsidP="00FD6E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5D429E" w:rsidRDefault="005D429E" w:rsidP="00FD6EAE">
            <w:pPr>
              <w:rPr>
                <w:rFonts w:eastAsia="Calibri" w:cs="Arial"/>
              </w:rPr>
            </w:pPr>
          </w:p>
          <w:p w:rsidR="00E74176" w:rsidRDefault="00E74176" w:rsidP="005358BA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E74176" w:rsidRDefault="00E74176" w:rsidP="005358BA">
            <w:pPr>
              <w:rPr>
                <w:rFonts w:eastAsia="Calibri" w:cs="Arial"/>
              </w:rPr>
            </w:pPr>
          </w:p>
          <w:p w:rsidR="005D429E" w:rsidRPr="00DF054D" w:rsidRDefault="005358BA" w:rsidP="005358BA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 / Andrew Brown</w:t>
            </w:r>
          </w:p>
        </w:tc>
      </w:tr>
      <w:tr w:rsidR="000253B8" w:rsidRPr="009A5FD2" w:rsidTr="00F20CD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Pr="009A5FD2" w:rsidRDefault="000253B8" w:rsidP="00FD6EAE">
            <w:p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2 July 2015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Pr="009A5FD2" w:rsidRDefault="000253B8" w:rsidP="000253B8">
            <w:pPr>
              <w:pStyle w:val="ListParagraph"/>
              <w:numPr>
                <w:ilvl w:val="0"/>
                <w:numId w:val="34"/>
              </w:num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Municipal/Local Bonds</w:t>
            </w:r>
          </w:p>
          <w:p w:rsidR="000253B8" w:rsidRDefault="000253B8" w:rsidP="000253B8">
            <w:pPr>
              <w:pStyle w:val="ListParagraph"/>
              <w:rPr>
                <w:rFonts w:eastAsia="Calibri" w:cs="Arial"/>
                <w:i/>
              </w:rPr>
            </w:pPr>
          </w:p>
          <w:p w:rsidR="00190A6D" w:rsidRDefault="00190A6D" w:rsidP="000253B8">
            <w:pPr>
              <w:pStyle w:val="ListParagraph"/>
              <w:rPr>
                <w:rFonts w:eastAsia="Calibri" w:cs="Arial"/>
                <w:i/>
              </w:rPr>
            </w:pPr>
          </w:p>
          <w:p w:rsidR="00190A6D" w:rsidRDefault="00190A6D" w:rsidP="000253B8">
            <w:pPr>
              <w:pStyle w:val="ListParagraph"/>
              <w:rPr>
                <w:rFonts w:eastAsia="Calibri" w:cs="Arial"/>
                <w:i/>
              </w:rPr>
            </w:pPr>
          </w:p>
          <w:p w:rsidR="000253B8" w:rsidRDefault="000253B8" w:rsidP="000253B8">
            <w:pPr>
              <w:pStyle w:val="ListParagraph"/>
              <w:numPr>
                <w:ilvl w:val="0"/>
                <w:numId w:val="34"/>
              </w:num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Low Carbon Hub</w:t>
            </w:r>
          </w:p>
          <w:p w:rsidR="00873EE5" w:rsidRDefault="00873EE5" w:rsidP="00873EE5">
            <w:pPr>
              <w:pStyle w:val="ListParagraph"/>
              <w:rPr>
                <w:rFonts w:eastAsia="Calibri" w:cs="Arial"/>
                <w:i/>
              </w:rPr>
            </w:pPr>
          </w:p>
          <w:p w:rsidR="00873EE5" w:rsidRDefault="00873EE5" w:rsidP="00873EE5">
            <w:pPr>
              <w:pStyle w:val="ListParagraph"/>
              <w:rPr>
                <w:rFonts w:eastAsia="Calibri" w:cs="Arial"/>
                <w:i/>
              </w:rPr>
            </w:pPr>
          </w:p>
          <w:p w:rsidR="00873EE5" w:rsidRDefault="00873EE5" w:rsidP="000253B8">
            <w:pPr>
              <w:pStyle w:val="ListParagraph"/>
              <w:numPr>
                <w:ilvl w:val="0"/>
                <w:numId w:val="34"/>
              </w:num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Corporate Debt Policy (pre-scrutiny)</w:t>
            </w:r>
          </w:p>
          <w:p w:rsidR="00873EE5" w:rsidRPr="00873EE5" w:rsidRDefault="00873EE5" w:rsidP="00873EE5">
            <w:pPr>
              <w:rPr>
                <w:rFonts w:eastAsia="Calibri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Pr="009A5FD2" w:rsidRDefault="000253B8" w:rsidP="00FD6EAE">
            <w:p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Steve Drummond</w:t>
            </w:r>
            <w:r w:rsidR="00190A6D">
              <w:rPr>
                <w:rFonts w:eastAsia="Calibri" w:cs="Arial"/>
                <w:i/>
              </w:rPr>
              <w:t xml:space="preserve"> (Low Carbon Hub), Aidan Brady or Christian Wall (Local Capital Finance Company)</w:t>
            </w:r>
          </w:p>
          <w:p w:rsidR="000253B8" w:rsidRPr="009A5FD2" w:rsidRDefault="000253B8" w:rsidP="00FD6EAE">
            <w:pPr>
              <w:rPr>
                <w:rFonts w:eastAsia="Calibri" w:cs="Arial"/>
                <w:i/>
              </w:rPr>
            </w:pPr>
          </w:p>
          <w:p w:rsidR="008A0532" w:rsidRDefault="009A5FD2" w:rsidP="00FD6EAE">
            <w:p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Steve Drummond</w:t>
            </w:r>
            <w:r w:rsidR="00190A6D">
              <w:rPr>
                <w:rFonts w:eastAsia="Calibri" w:cs="Arial"/>
                <w:i/>
              </w:rPr>
              <w:t xml:space="preserve"> (Low Carbon Hub)</w:t>
            </w:r>
            <w:r w:rsidRPr="009A5FD2">
              <w:rPr>
                <w:rFonts w:eastAsia="Calibri" w:cs="Arial"/>
                <w:i/>
              </w:rPr>
              <w:t>;</w:t>
            </w:r>
            <w:r w:rsidR="000253B8" w:rsidRPr="009A5FD2">
              <w:rPr>
                <w:rFonts w:eastAsia="Calibri" w:cs="Arial"/>
                <w:i/>
              </w:rPr>
              <w:t xml:space="preserve"> Anna </w:t>
            </w:r>
            <w:proofErr w:type="spellStart"/>
            <w:r w:rsidR="000253B8" w:rsidRPr="009A5FD2">
              <w:rPr>
                <w:rFonts w:eastAsia="Calibri" w:cs="Arial"/>
                <w:i/>
              </w:rPr>
              <w:t>Winship</w:t>
            </w:r>
            <w:proofErr w:type="spellEnd"/>
          </w:p>
          <w:p w:rsidR="00361168" w:rsidRDefault="00361168" w:rsidP="00FD6EAE">
            <w:pPr>
              <w:rPr>
                <w:rFonts w:eastAsia="Calibri" w:cs="Arial"/>
                <w:i/>
              </w:rPr>
            </w:pPr>
          </w:p>
          <w:p w:rsidR="00873EE5" w:rsidRPr="009A5FD2" w:rsidRDefault="00873EE5" w:rsidP="00FD6EAE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Nigel Kennedy</w:t>
            </w:r>
          </w:p>
        </w:tc>
      </w:tr>
    </w:tbl>
    <w:p w:rsidR="00190A6D" w:rsidRDefault="00190A6D" w:rsidP="009A5FD2">
      <w:pPr>
        <w:jc w:val="center"/>
        <w:rPr>
          <w:b/>
          <w:sz w:val="28"/>
        </w:rPr>
      </w:pPr>
    </w:p>
    <w:p w:rsidR="00190A6D" w:rsidRDefault="002F56FF" w:rsidP="00F20CDD">
      <w:pPr>
        <w:ind w:firstLine="720"/>
        <w:rPr>
          <w:b/>
          <w:sz w:val="28"/>
        </w:rPr>
      </w:pPr>
      <w:r w:rsidRPr="00F0647D">
        <w:rPr>
          <w:b/>
          <w:i/>
        </w:rPr>
        <w:t xml:space="preserve">Provisional 2015/16 </w:t>
      </w:r>
      <w:r>
        <w:rPr>
          <w:b/>
          <w:i/>
        </w:rPr>
        <w:t xml:space="preserve">Finance Panel </w:t>
      </w:r>
      <w:r w:rsidRPr="00F0647D">
        <w:rPr>
          <w:b/>
          <w:i/>
        </w:rPr>
        <w:t>dates: 2 July, 3 November, 14 January, 28 January &amp; 7 April.</w:t>
      </w:r>
    </w:p>
    <w:p w:rsidR="00190A6D" w:rsidRDefault="00190A6D" w:rsidP="009A5FD2">
      <w:pPr>
        <w:jc w:val="center"/>
        <w:rPr>
          <w:b/>
          <w:sz w:val="28"/>
        </w:rPr>
      </w:pPr>
    </w:p>
    <w:p w:rsidR="00190A6D" w:rsidRDefault="00190A6D" w:rsidP="009A5FD2">
      <w:pPr>
        <w:jc w:val="center"/>
        <w:rPr>
          <w:b/>
          <w:sz w:val="28"/>
        </w:rPr>
      </w:pPr>
    </w:p>
    <w:p w:rsidR="00BA7940" w:rsidRDefault="00BA7940" w:rsidP="009A5FD2">
      <w:pPr>
        <w:jc w:val="center"/>
        <w:rPr>
          <w:b/>
          <w:sz w:val="28"/>
        </w:rPr>
      </w:pPr>
    </w:p>
    <w:p w:rsidR="00190A6D" w:rsidRDefault="00190A6D" w:rsidP="009A5FD2">
      <w:pPr>
        <w:jc w:val="center"/>
        <w:rPr>
          <w:b/>
          <w:sz w:val="28"/>
        </w:rPr>
      </w:pPr>
    </w:p>
    <w:p w:rsidR="00190A6D" w:rsidRDefault="00190A6D" w:rsidP="009A5FD2">
      <w:pPr>
        <w:jc w:val="center"/>
        <w:rPr>
          <w:b/>
          <w:sz w:val="28"/>
        </w:rPr>
      </w:pPr>
    </w:p>
    <w:p w:rsidR="00190A6D" w:rsidRDefault="00190A6D" w:rsidP="009A5FD2">
      <w:pPr>
        <w:jc w:val="center"/>
        <w:rPr>
          <w:b/>
          <w:sz w:val="28"/>
        </w:rPr>
      </w:pPr>
    </w:p>
    <w:p w:rsidR="00600EDF" w:rsidRDefault="00600EDF" w:rsidP="009A5FD2">
      <w:pPr>
        <w:jc w:val="center"/>
        <w:rPr>
          <w:b/>
          <w:sz w:val="28"/>
        </w:rPr>
      </w:pPr>
    </w:p>
    <w:p w:rsidR="006C5830" w:rsidRDefault="006C5830" w:rsidP="009A5FD2">
      <w:pPr>
        <w:jc w:val="center"/>
        <w:rPr>
          <w:b/>
          <w:sz w:val="28"/>
        </w:rPr>
      </w:pPr>
    </w:p>
    <w:p w:rsidR="00FD6EAE" w:rsidRPr="00FD6EAE" w:rsidRDefault="00FD6EAE" w:rsidP="009A5FD2">
      <w:pPr>
        <w:jc w:val="center"/>
        <w:rPr>
          <w:b/>
          <w:sz w:val="28"/>
        </w:rPr>
      </w:pPr>
      <w:r w:rsidRPr="00FD6EAE">
        <w:rPr>
          <w:b/>
          <w:sz w:val="28"/>
        </w:rPr>
        <w:lastRenderedPageBreak/>
        <w:t>Appendix 2 - Housing Panel work programme 2014-15</w:t>
      </w:r>
    </w:p>
    <w:p w:rsidR="00FD6EAE" w:rsidRPr="00FD6EAE" w:rsidRDefault="00FD6EAE" w:rsidP="00FD6EAE">
      <w:pPr>
        <w:rPr>
          <w:b/>
          <w:u w:val="single"/>
        </w:rPr>
      </w:pPr>
    </w:p>
    <w:p w:rsidR="00FD6EAE" w:rsidRPr="00FD6EAE" w:rsidRDefault="00FD6EAE" w:rsidP="00FD6EAE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FD6EAE" w:rsidRPr="00FD6EAE" w:rsidRDefault="00FD6EAE" w:rsidP="00FD6EAE"/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9922"/>
      </w:tblGrid>
      <w:tr w:rsidR="00FD6EAE" w:rsidRPr="00FD6EAE" w:rsidTr="00F20CDD">
        <w:trPr>
          <w:trHeight w:val="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FD6EAE" w:rsidP="00FD6EAE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AE" w:rsidRPr="00FD6EAE" w:rsidRDefault="002F1A6E" w:rsidP="00FD6EAE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 xml:space="preserve">Performance monitoring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D77262">
            <w:r>
              <w:t xml:space="preserve"> </w:t>
            </w:r>
            <w:r w:rsidR="00D77262">
              <w:t xml:space="preserve">Completed – Carry forward 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Housing Strategy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2F1A6E">
            <w:r>
              <w:t xml:space="preserve"> Completed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Increasing the provision of affordable housing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BA7940" w:rsidP="00BA7940">
            <w:pPr>
              <w:ind w:left="60"/>
            </w:pPr>
            <w:r>
              <w:t xml:space="preserve">Considered in other topics - </w:t>
            </w:r>
            <w:r w:rsidRPr="00BA7940">
              <w:t>Housing Development delivery models</w:t>
            </w:r>
            <w:r>
              <w:t xml:space="preserve"> item scheduled for 4 June Housing Panel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Homelessness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2F1A6E">
            <w:r>
              <w:t xml:space="preserve"> </w:t>
            </w:r>
            <w:r w:rsidRPr="002F1A6E">
              <w:t>Completed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Rent arrears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2F1A6E">
            <w:r>
              <w:t xml:space="preserve"> </w:t>
            </w:r>
            <w:r w:rsidRPr="002F1A6E">
              <w:t>Completed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STAR survey results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2F1A6E">
            <w:r>
              <w:t xml:space="preserve"> </w:t>
            </w:r>
            <w:r w:rsidRPr="002F1A6E">
              <w:t>Completed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Tackling under-occupancy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r>
              <w:t xml:space="preserve"> </w:t>
            </w:r>
            <w:r w:rsidRPr="002F1A6E">
              <w:t>Completed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Oxford Standard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2F1A6E">
            <w:r>
              <w:t xml:space="preserve"> Completed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 xml:space="preserve">Private sector licencing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D77262">
            <w:r>
              <w:t xml:space="preserve"> </w:t>
            </w:r>
            <w:r w:rsidR="00D77262">
              <w:t>Carried forward – item on Forward Plan for</w:t>
            </w:r>
            <w:r w:rsidR="00BA7940">
              <w:t xml:space="preserve"> CEB in</w:t>
            </w:r>
            <w:r w:rsidR="00D77262">
              <w:t xml:space="preserve"> October 2015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Unlawful dwellings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2F1A6E">
            <w:r>
              <w:t xml:space="preserve"> </w:t>
            </w:r>
            <w:r w:rsidRPr="002F1A6E">
              <w:t>Completed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Repairs exemptions policy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>
              <w:t xml:space="preserve">None </w:t>
            </w:r>
            <w:r w:rsidR="00BA7940">
              <w:t>–</w:t>
            </w:r>
            <w:r>
              <w:t xml:space="preserve"> </w:t>
            </w:r>
            <w:r w:rsidR="00BA7940">
              <w:t xml:space="preserve">CEB </w:t>
            </w:r>
            <w:r>
              <w:t>Report cancelled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De-designation of 40+ accommodation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D77262" w:rsidP="00FD6EAE">
            <w:pPr>
              <w:ind w:left="60"/>
            </w:pPr>
            <w:r>
              <w:t>Carried forward – i</w:t>
            </w:r>
            <w:r w:rsidR="002F1A6E">
              <w:t>tem scheduled for 4 June</w:t>
            </w:r>
            <w:r>
              <w:t xml:space="preserve"> Housing Panel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Sheltered Housing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 w:rsidRPr="002F1A6E">
              <w:t>Completed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Fuel Poverty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pPr>
              <w:ind w:left="60"/>
            </w:pPr>
            <w:r w:rsidRPr="002F1A6E">
              <w:t>Completed</w:t>
            </w:r>
          </w:p>
        </w:tc>
      </w:tr>
      <w:tr w:rsidR="00FD6EAE" w:rsidRPr="00FD6EAE" w:rsidTr="00F2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AE" w:rsidRPr="00FD6EAE" w:rsidRDefault="00FD6EAE" w:rsidP="00FD6EAE">
            <w:r w:rsidRPr="00FD6EAE">
              <w:t>Supporting people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E" w:rsidRPr="00FD6EAE" w:rsidRDefault="002F1A6E" w:rsidP="00FD6EAE">
            <w:r>
              <w:t xml:space="preserve"> </w:t>
            </w:r>
            <w:r w:rsidRPr="002F1A6E">
              <w:t>Completed</w:t>
            </w:r>
          </w:p>
        </w:tc>
      </w:tr>
    </w:tbl>
    <w:p w:rsidR="00584A8C" w:rsidRDefault="00584A8C" w:rsidP="00FD6EAE">
      <w:pPr>
        <w:ind w:left="720"/>
        <w:rPr>
          <w:b/>
          <w:u w:val="single"/>
        </w:rPr>
      </w:pPr>
    </w:p>
    <w:p w:rsidR="002F1A6E" w:rsidRDefault="002F1A6E" w:rsidP="00FD6EAE">
      <w:pPr>
        <w:ind w:left="720"/>
        <w:rPr>
          <w:b/>
          <w:u w:val="single"/>
        </w:rPr>
      </w:pPr>
    </w:p>
    <w:p w:rsidR="002F1A6E" w:rsidRDefault="002F1A6E" w:rsidP="00FD6EAE">
      <w:pPr>
        <w:ind w:left="720"/>
        <w:rPr>
          <w:b/>
          <w:u w:val="single"/>
        </w:rPr>
      </w:pPr>
    </w:p>
    <w:p w:rsidR="002F1A6E" w:rsidRDefault="002F1A6E" w:rsidP="00FD6EAE">
      <w:pPr>
        <w:ind w:left="720"/>
        <w:rPr>
          <w:b/>
          <w:u w:val="single"/>
        </w:rPr>
      </w:pPr>
    </w:p>
    <w:p w:rsidR="002F1A6E" w:rsidRDefault="002F1A6E" w:rsidP="00FD6EAE">
      <w:pPr>
        <w:ind w:left="720"/>
        <w:rPr>
          <w:b/>
          <w:u w:val="single"/>
        </w:rPr>
      </w:pPr>
    </w:p>
    <w:p w:rsidR="002F1A6E" w:rsidRDefault="002F1A6E" w:rsidP="00FD6EAE">
      <w:pPr>
        <w:ind w:left="720"/>
        <w:rPr>
          <w:b/>
          <w:u w:val="single"/>
        </w:rPr>
      </w:pPr>
    </w:p>
    <w:p w:rsidR="002F1A6E" w:rsidRDefault="002F1A6E" w:rsidP="00FD6EAE">
      <w:pPr>
        <w:ind w:left="720"/>
        <w:rPr>
          <w:b/>
          <w:u w:val="single"/>
        </w:rPr>
      </w:pPr>
    </w:p>
    <w:p w:rsidR="002F1A6E" w:rsidRDefault="002F1A6E" w:rsidP="00FD6EAE">
      <w:pPr>
        <w:ind w:left="720"/>
        <w:rPr>
          <w:b/>
          <w:u w:val="single"/>
        </w:rPr>
      </w:pPr>
    </w:p>
    <w:p w:rsidR="002F1A6E" w:rsidRDefault="002F1A6E" w:rsidP="00FD6EAE">
      <w:pPr>
        <w:ind w:left="720"/>
        <w:rPr>
          <w:b/>
          <w:u w:val="single"/>
        </w:rPr>
      </w:pPr>
    </w:p>
    <w:p w:rsidR="00FD6EAE" w:rsidRPr="00FD6EAE" w:rsidRDefault="00FD6EAE" w:rsidP="00FD6EAE">
      <w:pPr>
        <w:ind w:left="720"/>
        <w:rPr>
          <w:b/>
          <w:u w:val="single"/>
        </w:rPr>
      </w:pPr>
      <w:r w:rsidRPr="00FD6EAE">
        <w:rPr>
          <w:b/>
          <w:u w:val="single"/>
        </w:rPr>
        <w:lastRenderedPageBreak/>
        <w:t>Draft Housing Panel Agenda Schedules</w:t>
      </w:r>
    </w:p>
    <w:p w:rsidR="00FD6EAE" w:rsidRPr="00FD6EAE" w:rsidRDefault="00FD6EAE" w:rsidP="00FD6EAE">
      <w:pPr>
        <w:rPr>
          <w:b/>
          <w:sz w:val="16"/>
          <w:u w:val="single"/>
        </w:rPr>
      </w:pPr>
    </w:p>
    <w:p w:rsidR="009A2722" w:rsidRDefault="009A2722" w:rsidP="002F1A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21"/>
        <w:gridCol w:w="4110"/>
      </w:tblGrid>
      <w:tr w:rsidR="00967A80" w:rsidRPr="00FD6EAE" w:rsidTr="00F20CDD">
        <w:trPr>
          <w:trHeight w:val="4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0" w:rsidRPr="00FD6EAE" w:rsidRDefault="00967A80" w:rsidP="001F3A12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Date, room and time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0" w:rsidRPr="00FD6EAE" w:rsidRDefault="00600EDF" w:rsidP="001F3A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Possible </w:t>
            </w:r>
            <w:r w:rsidR="00967A80" w:rsidRPr="00FD6EAE">
              <w:rPr>
                <w:rFonts w:eastAsia="Calibri" w:cs="Arial"/>
                <w:b/>
              </w:rPr>
              <w:t>Agenda Item</w:t>
            </w:r>
            <w:r>
              <w:rPr>
                <w:rFonts w:eastAsia="Calibri" w:cs="Arial"/>
                <w:b/>
              </w:rPr>
              <w:t>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0" w:rsidRPr="00FD6EAE" w:rsidRDefault="00967A80" w:rsidP="001F3A12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Officer(s)</w:t>
            </w:r>
          </w:p>
        </w:tc>
      </w:tr>
      <w:tr w:rsidR="00967A80" w:rsidRPr="00B70B58" w:rsidTr="00F20CDD">
        <w:trPr>
          <w:trHeight w:val="3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0" w:rsidRPr="00B70B58" w:rsidRDefault="00967A80" w:rsidP="001F3A12">
            <w:pPr>
              <w:rPr>
                <w:rFonts w:eastAsia="Calibri" w:cs="Arial"/>
                <w:i/>
              </w:rPr>
            </w:pPr>
            <w:r w:rsidRPr="00B70B58">
              <w:rPr>
                <w:rFonts w:eastAsia="Calibri" w:cs="Arial"/>
                <w:i/>
              </w:rPr>
              <w:t xml:space="preserve">4 June 2015, </w:t>
            </w:r>
            <w:proofErr w:type="spellStart"/>
            <w:r w:rsidRPr="00B70B58">
              <w:rPr>
                <w:rFonts w:eastAsia="Calibri" w:cs="Arial"/>
                <w:i/>
              </w:rPr>
              <w:t>Plowman</w:t>
            </w:r>
            <w:proofErr w:type="spellEnd"/>
            <w:r w:rsidRPr="00B70B58">
              <w:rPr>
                <w:rFonts w:eastAsia="Calibri" w:cs="Arial"/>
                <w:i/>
              </w:rPr>
              <w:t xml:space="preserve"> Room, 5pm (Provisional)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0" w:rsidRDefault="00600EDF" w:rsidP="001F3A12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De-designation </w:t>
            </w:r>
            <w:r w:rsidR="006C5830">
              <w:rPr>
                <w:rFonts w:eastAsia="Calibri" w:cs="Arial"/>
                <w:i/>
              </w:rPr>
              <w:t>review year 4</w:t>
            </w:r>
          </w:p>
          <w:p w:rsidR="00B763D0" w:rsidRDefault="00B763D0" w:rsidP="00B763D0">
            <w:pPr>
              <w:pStyle w:val="ListParagraph"/>
              <w:rPr>
                <w:rFonts w:eastAsia="Calibri" w:cs="Arial"/>
                <w:i/>
              </w:rPr>
            </w:pPr>
          </w:p>
          <w:p w:rsidR="00190A6D" w:rsidRDefault="00190A6D" w:rsidP="001F3A12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Asset Management Strategy (including the Oxford Standard) (pre-scrutiny)</w:t>
            </w:r>
          </w:p>
          <w:p w:rsidR="00190A6D" w:rsidRDefault="00190A6D" w:rsidP="00190A6D">
            <w:pPr>
              <w:pStyle w:val="ListParagraph"/>
              <w:rPr>
                <w:rFonts w:eastAsia="Calibri" w:cs="Arial"/>
                <w:i/>
              </w:rPr>
            </w:pPr>
          </w:p>
          <w:p w:rsidR="00967A80" w:rsidRDefault="00967A80" w:rsidP="001F3A12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i/>
              </w:rPr>
            </w:pPr>
            <w:r w:rsidRPr="00B70B58">
              <w:rPr>
                <w:rFonts w:eastAsia="Calibri" w:cs="Arial"/>
                <w:i/>
              </w:rPr>
              <w:t>Houses in Multiple Occupation (HMO) Licensing Scheme (pre-scrutiny)</w:t>
            </w:r>
          </w:p>
          <w:p w:rsidR="00BA7940" w:rsidRPr="00BA7940" w:rsidRDefault="00BA7940" w:rsidP="00BA7940">
            <w:pPr>
              <w:pStyle w:val="ListParagraph"/>
              <w:rPr>
                <w:rFonts w:eastAsia="Calibri" w:cs="Arial"/>
                <w:i/>
              </w:rPr>
            </w:pPr>
          </w:p>
          <w:p w:rsidR="00BA7940" w:rsidRDefault="00BA7940" w:rsidP="001F3A12">
            <w:pPr>
              <w:pStyle w:val="ListParagraph"/>
              <w:numPr>
                <w:ilvl w:val="0"/>
                <w:numId w:val="32"/>
              </w:num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Housing Development delivery models (pre-scrutiny)</w:t>
            </w:r>
          </w:p>
          <w:p w:rsidR="00967A80" w:rsidRPr="00B70B58" w:rsidRDefault="00967A80" w:rsidP="00600EDF">
            <w:pPr>
              <w:pStyle w:val="ListParagraph"/>
              <w:rPr>
                <w:rFonts w:eastAsia="Calibri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0" w:rsidRDefault="00600EDF" w:rsidP="001F3A12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Tom Porter</w:t>
            </w:r>
          </w:p>
          <w:p w:rsidR="00B763D0" w:rsidRDefault="00B763D0" w:rsidP="001F3A12">
            <w:pPr>
              <w:rPr>
                <w:rFonts w:eastAsia="Calibri" w:cs="Arial"/>
                <w:i/>
              </w:rPr>
            </w:pPr>
          </w:p>
          <w:p w:rsidR="00190A6D" w:rsidRDefault="00190A6D" w:rsidP="001F3A12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Martin Shaw</w:t>
            </w:r>
          </w:p>
          <w:p w:rsidR="00190A6D" w:rsidRDefault="00190A6D" w:rsidP="001F3A12">
            <w:pPr>
              <w:rPr>
                <w:rFonts w:eastAsia="Calibri" w:cs="Arial"/>
                <w:i/>
              </w:rPr>
            </w:pPr>
          </w:p>
          <w:p w:rsidR="00967A80" w:rsidRPr="00B70B58" w:rsidRDefault="00967A80" w:rsidP="001F3A12">
            <w:pPr>
              <w:rPr>
                <w:rFonts w:eastAsia="Calibri" w:cs="Arial"/>
                <w:i/>
              </w:rPr>
            </w:pPr>
          </w:p>
          <w:p w:rsidR="00967A80" w:rsidRDefault="00967A80" w:rsidP="001F3A12">
            <w:pPr>
              <w:rPr>
                <w:rFonts w:eastAsia="Calibri" w:cs="Arial"/>
                <w:i/>
              </w:rPr>
            </w:pPr>
            <w:r w:rsidRPr="00B70B58">
              <w:rPr>
                <w:rFonts w:eastAsia="Calibri" w:cs="Arial"/>
                <w:i/>
              </w:rPr>
              <w:t xml:space="preserve">Adrian </w:t>
            </w:r>
            <w:proofErr w:type="spellStart"/>
            <w:r w:rsidRPr="00B70B58">
              <w:rPr>
                <w:rFonts w:eastAsia="Calibri" w:cs="Arial"/>
                <w:i/>
              </w:rPr>
              <w:t>Chowns</w:t>
            </w:r>
            <w:proofErr w:type="spellEnd"/>
          </w:p>
          <w:p w:rsidR="00BA7940" w:rsidRDefault="00BA7940" w:rsidP="001F3A12">
            <w:pPr>
              <w:rPr>
                <w:rFonts w:eastAsia="Calibri" w:cs="Arial"/>
                <w:i/>
              </w:rPr>
            </w:pPr>
          </w:p>
          <w:p w:rsidR="00BA7940" w:rsidRDefault="00BA7940" w:rsidP="001F3A12">
            <w:pPr>
              <w:rPr>
                <w:rFonts w:eastAsia="Calibri" w:cs="Arial"/>
                <w:i/>
              </w:rPr>
            </w:pPr>
          </w:p>
          <w:p w:rsidR="00BA7940" w:rsidRPr="00B70B58" w:rsidRDefault="00BA7940" w:rsidP="001F3A12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TBC</w:t>
            </w:r>
          </w:p>
        </w:tc>
      </w:tr>
    </w:tbl>
    <w:p w:rsidR="009A2722" w:rsidRDefault="009A2722" w:rsidP="009A2722">
      <w:pPr>
        <w:ind w:firstLine="720"/>
        <w:rPr>
          <w:b/>
        </w:rPr>
      </w:pPr>
    </w:p>
    <w:p w:rsidR="002F1A6E" w:rsidRPr="00F0647D" w:rsidRDefault="002F1A6E" w:rsidP="002F1A6E">
      <w:pPr>
        <w:ind w:firstLine="720"/>
        <w:rPr>
          <w:b/>
          <w:i/>
        </w:rPr>
      </w:pPr>
      <w:r w:rsidRPr="00F0647D">
        <w:rPr>
          <w:b/>
          <w:i/>
        </w:rPr>
        <w:t xml:space="preserve">Provisional 2015/16 </w:t>
      </w:r>
      <w:r>
        <w:rPr>
          <w:b/>
          <w:i/>
        </w:rPr>
        <w:t xml:space="preserve">Housing Panel </w:t>
      </w:r>
      <w:r w:rsidRPr="00F0647D">
        <w:rPr>
          <w:b/>
          <w:i/>
        </w:rPr>
        <w:t>dates: 4 June, 9 September</w:t>
      </w:r>
      <w:r>
        <w:rPr>
          <w:b/>
          <w:i/>
        </w:rPr>
        <w:t xml:space="preserve">, 8 October, 9 December &amp; </w:t>
      </w:r>
      <w:r w:rsidRPr="00F0647D">
        <w:rPr>
          <w:b/>
          <w:i/>
        </w:rPr>
        <w:t>9 March.</w:t>
      </w:r>
    </w:p>
    <w:p w:rsidR="002F1A6E" w:rsidRDefault="002F1A6E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B54524" w:rsidRDefault="00B54524" w:rsidP="009A2722">
      <w:pPr>
        <w:ind w:firstLine="720"/>
        <w:rPr>
          <w:b/>
        </w:rPr>
      </w:pPr>
    </w:p>
    <w:p w:rsidR="004019CA" w:rsidRPr="004019CA" w:rsidRDefault="004019CA" w:rsidP="004019CA">
      <w:pPr>
        <w:jc w:val="center"/>
        <w:rPr>
          <w:b/>
          <w:sz w:val="28"/>
        </w:rPr>
      </w:pPr>
      <w:r w:rsidRPr="004019CA">
        <w:rPr>
          <w:b/>
          <w:sz w:val="28"/>
        </w:rPr>
        <w:lastRenderedPageBreak/>
        <w:t>Appendix 3 – DRAFT suggested 2015-16 work programme items (long list)</w:t>
      </w:r>
    </w:p>
    <w:p w:rsidR="004019CA" w:rsidRPr="004019CA" w:rsidRDefault="004019CA" w:rsidP="004019CA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F20CDD" w:rsidRPr="004019CA" w:rsidTr="00F20CDD">
        <w:trPr>
          <w:trHeight w:val="628"/>
        </w:trPr>
        <w:tc>
          <w:tcPr>
            <w:tcW w:w="4725" w:type="dxa"/>
            <w:vAlign w:val="center"/>
          </w:tcPr>
          <w:p w:rsidR="004019CA" w:rsidRPr="004019CA" w:rsidRDefault="004019CA" w:rsidP="004019CA">
            <w:pPr>
              <w:rPr>
                <w:b/>
              </w:rPr>
            </w:pPr>
            <w:r w:rsidRPr="004019CA">
              <w:rPr>
                <w:b/>
              </w:rPr>
              <w:t>Topic</w:t>
            </w:r>
          </w:p>
        </w:tc>
        <w:tc>
          <w:tcPr>
            <w:tcW w:w="4725" w:type="dxa"/>
            <w:vAlign w:val="center"/>
          </w:tcPr>
          <w:p w:rsidR="004019CA" w:rsidRPr="004019CA" w:rsidRDefault="004019CA" w:rsidP="004019CA">
            <w:pPr>
              <w:rPr>
                <w:b/>
              </w:rPr>
            </w:pPr>
            <w:r w:rsidRPr="004019CA">
              <w:rPr>
                <w:b/>
              </w:rPr>
              <w:t>Suggested approach</w:t>
            </w:r>
          </w:p>
        </w:tc>
        <w:tc>
          <w:tcPr>
            <w:tcW w:w="4725" w:type="dxa"/>
            <w:vAlign w:val="center"/>
          </w:tcPr>
          <w:p w:rsidR="004019CA" w:rsidRPr="004019CA" w:rsidRDefault="004019CA" w:rsidP="004019CA">
            <w:pPr>
              <w:rPr>
                <w:b/>
              </w:rPr>
            </w:pPr>
            <w:r w:rsidRPr="004019CA">
              <w:rPr>
                <w:b/>
              </w:rPr>
              <w:t>Suggested / possible timing</w:t>
            </w:r>
          </w:p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Neighbourhood working / community engagement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Review Group</w:t>
            </w:r>
          </w:p>
        </w:tc>
        <w:tc>
          <w:tcPr>
            <w:tcW w:w="4725" w:type="dxa"/>
          </w:tcPr>
          <w:p w:rsidR="004019CA" w:rsidRPr="004019CA" w:rsidRDefault="004019CA" w:rsidP="004019CA"/>
        </w:tc>
      </w:tr>
      <w:tr w:rsidR="004019CA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How to improving the health of people in the city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Review Group / 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/>
        </w:tc>
      </w:tr>
      <w:tr w:rsidR="004019CA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The Oxford Transport Strategy / maintenance of roads and pavements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Review Group / 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/>
        </w:tc>
      </w:tr>
      <w:tr w:rsidR="004019CA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Mental health services</w:t>
            </w:r>
          </w:p>
        </w:tc>
        <w:tc>
          <w:tcPr>
            <w:tcW w:w="4725" w:type="dxa"/>
          </w:tcPr>
          <w:p w:rsidR="004019CA" w:rsidRPr="004019CA" w:rsidRDefault="00C92177" w:rsidP="004019CA">
            <w:r w:rsidRPr="00C92177">
              <w:t>Review Group / 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/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Educational Attainment</w:t>
            </w:r>
          </w:p>
        </w:tc>
        <w:tc>
          <w:tcPr>
            <w:tcW w:w="4725" w:type="dxa"/>
          </w:tcPr>
          <w:p w:rsidR="004019CA" w:rsidRPr="004019CA" w:rsidRDefault="00C92177" w:rsidP="004019CA">
            <w:r w:rsidRPr="00C92177">
              <w:t>Review Group / 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/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Taxi Licencing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30 June</w:t>
            </w:r>
          </w:p>
        </w:tc>
      </w:tr>
      <w:tr w:rsidR="00E85C23" w:rsidRPr="004019CA" w:rsidTr="00F20CDD">
        <w:tc>
          <w:tcPr>
            <w:tcW w:w="4725" w:type="dxa"/>
          </w:tcPr>
          <w:p w:rsidR="00E85C23" w:rsidRPr="004019CA" w:rsidRDefault="00E85C23" w:rsidP="00E85C23">
            <w:r w:rsidRPr="00E85C23">
              <w:t xml:space="preserve">Proposed Lease and Monitoring Arrangements for Community Centres </w:t>
            </w:r>
          </w:p>
        </w:tc>
        <w:tc>
          <w:tcPr>
            <w:tcW w:w="4725" w:type="dxa"/>
          </w:tcPr>
          <w:p w:rsidR="00E85C23" w:rsidRPr="004019CA" w:rsidRDefault="00E85C23" w:rsidP="004019CA">
            <w:r>
              <w:t>Scrutiny Committee (pre-scrutiny)</w:t>
            </w:r>
          </w:p>
        </w:tc>
        <w:tc>
          <w:tcPr>
            <w:tcW w:w="4725" w:type="dxa"/>
          </w:tcPr>
          <w:p w:rsidR="00E85C23" w:rsidRPr="004019CA" w:rsidRDefault="00D26D8F" w:rsidP="004019CA">
            <w:r>
              <w:t>2 June</w:t>
            </w:r>
          </w:p>
        </w:tc>
      </w:tr>
      <w:tr w:rsidR="00E85C23" w:rsidRPr="004019CA" w:rsidTr="00F20CDD">
        <w:tc>
          <w:tcPr>
            <w:tcW w:w="4725" w:type="dxa"/>
          </w:tcPr>
          <w:p w:rsidR="00E85C23" w:rsidRPr="004019CA" w:rsidRDefault="00E85C23" w:rsidP="00E85C23">
            <w:r w:rsidRPr="00E85C23">
              <w:t xml:space="preserve">Oxford Railway Station Redevelopment </w:t>
            </w:r>
          </w:p>
        </w:tc>
        <w:tc>
          <w:tcPr>
            <w:tcW w:w="4725" w:type="dxa"/>
          </w:tcPr>
          <w:p w:rsidR="00E85C23" w:rsidRDefault="00E85C23" w:rsidP="004019CA">
            <w:r w:rsidRPr="00E85C23">
              <w:t>Scrutiny Committee (pre-scrutiny)</w:t>
            </w:r>
          </w:p>
        </w:tc>
        <w:tc>
          <w:tcPr>
            <w:tcW w:w="4725" w:type="dxa"/>
          </w:tcPr>
          <w:p w:rsidR="00E85C23" w:rsidRPr="004019CA" w:rsidRDefault="00D26D8F" w:rsidP="004019CA">
            <w:r>
              <w:t xml:space="preserve">2 June </w:t>
            </w:r>
            <w:r w:rsidRPr="00D26D8F">
              <w:t>(dependent on CEB timing)</w:t>
            </w:r>
          </w:p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proofErr w:type="spellStart"/>
            <w:r w:rsidRPr="004019CA">
              <w:t>Oxfutures</w:t>
            </w:r>
            <w:proofErr w:type="spellEnd"/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2 June</w:t>
            </w:r>
            <w:r w:rsidR="00D26D8F">
              <w:t xml:space="preserve"> </w:t>
            </w:r>
            <w:r w:rsidR="00D26D8F" w:rsidRPr="00D26D8F">
              <w:t>(dependent on CEB timing)</w:t>
            </w:r>
          </w:p>
        </w:tc>
      </w:tr>
      <w:tr w:rsidR="004019CA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Discretionary Housing Payments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Mid-year</w:t>
            </w:r>
          </w:p>
        </w:tc>
      </w:tr>
      <w:tr w:rsidR="004019CA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Public Communications / Consultation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/>
        </w:tc>
      </w:tr>
      <w:tr w:rsidR="004019CA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 xml:space="preserve">Graffiti 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/>
        </w:tc>
      </w:tr>
      <w:tr w:rsidR="004019CA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Youth Ambition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Scrutiny Committee item</w:t>
            </w:r>
          </w:p>
        </w:tc>
        <w:tc>
          <w:tcPr>
            <w:tcW w:w="4725" w:type="dxa"/>
          </w:tcPr>
          <w:p w:rsidR="004019CA" w:rsidRPr="004019CA" w:rsidRDefault="004019CA" w:rsidP="004019CA"/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Performance Monitoring (corporate)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Scrutiny Committee items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 xml:space="preserve">Quarterly </w:t>
            </w:r>
          </w:p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Performance Monitoring (housing)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Housing Panel items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Quarterly</w:t>
            </w:r>
          </w:p>
        </w:tc>
      </w:tr>
      <w:tr w:rsidR="004019CA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 xml:space="preserve">De-designation of 40+ accommodation 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Housing Panel item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 xml:space="preserve">4 June </w:t>
            </w:r>
          </w:p>
        </w:tc>
      </w:tr>
      <w:tr w:rsidR="004019CA" w:rsidRPr="004019CA" w:rsidTr="00F20CDD">
        <w:tc>
          <w:tcPr>
            <w:tcW w:w="4725" w:type="dxa"/>
          </w:tcPr>
          <w:p w:rsidR="004019CA" w:rsidRPr="004019CA" w:rsidRDefault="00D26D8F" w:rsidP="004019CA">
            <w:r>
              <w:t>R</w:t>
            </w:r>
            <w:r w:rsidRPr="00D26D8F">
              <w:t>eview of the Homelessness Action Plan 2013-18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Housing Panel item</w:t>
            </w:r>
          </w:p>
        </w:tc>
        <w:tc>
          <w:tcPr>
            <w:tcW w:w="4725" w:type="dxa"/>
          </w:tcPr>
          <w:p w:rsidR="004019CA" w:rsidRPr="004019CA" w:rsidRDefault="00D26D8F" w:rsidP="004019CA">
            <w:r>
              <w:t>9 September</w:t>
            </w:r>
          </w:p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Houses in Multiple Occupation (HMO) Licensing Scheme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Housing Panel (pre-scrutiny)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4 June (dependent on CEB timing)</w:t>
            </w:r>
          </w:p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Housing Development delivery models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Housing Panel (pre-scrutiny)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4 June (dependent on CEB timing)</w:t>
            </w:r>
          </w:p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Asset Management Strategy (including the Oxford Standard) (pre-scrutiny)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Housing Panel (pre-scrutiny)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4 June (dependent on CEB timing)</w:t>
            </w:r>
          </w:p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lastRenderedPageBreak/>
              <w:t>Low Carbon Oxford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Finance Panel item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2 July</w:t>
            </w:r>
          </w:p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>Municipal/Local bonds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Finance Panel item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2 July</w:t>
            </w:r>
          </w:p>
        </w:tc>
      </w:tr>
      <w:tr w:rsidR="00F06077" w:rsidRPr="004019CA" w:rsidTr="00F20CDD">
        <w:tc>
          <w:tcPr>
            <w:tcW w:w="4725" w:type="dxa"/>
          </w:tcPr>
          <w:p w:rsidR="00F06077" w:rsidRPr="004019CA" w:rsidRDefault="00F06077" w:rsidP="004019CA">
            <w:r>
              <w:t>Corporate Debt Policy</w:t>
            </w:r>
          </w:p>
        </w:tc>
        <w:tc>
          <w:tcPr>
            <w:tcW w:w="4725" w:type="dxa"/>
          </w:tcPr>
          <w:p w:rsidR="00F06077" w:rsidRPr="004019CA" w:rsidRDefault="00F06077" w:rsidP="004019CA">
            <w:r>
              <w:t>Finance Panel (pre-scrutiny)</w:t>
            </w:r>
          </w:p>
        </w:tc>
        <w:tc>
          <w:tcPr>
            <w:tcW w:w="4725" w:type="dxa"/>
          </w:tcPr>
          <w:p w:rsidR="00F06077" w:rsidRPr="004019CA" w:rsidRDefault="00F06077" w:rsidP="004019CA">
            <w:r>
              <w:t xml:space="preserve">2 July </w:t>
            </w:r>
          </w:p>
        </w:tc>
      </w:tr>
      <w:tr w:rsidR="00F20CDD" w:rsidRPr="004019CA" w:rsidTr="00F20CDD">
        <w:tc>
          <w:tcPr>
            <w:tcW w:w="4725" w:type="dxa"/>
          </w:tcPr>
          <w:p w:rsidR="004019CA" w:rsidRPr="004019CA" w:rsidRDefault="004019CA" w:rsidP="004019CA">
            <w:r w:rsidRPr="004019CA">
              <w:t xml:space="preserve">Budget monitoring 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Finance Panel items</w:t>
            </w:r>
          </w:p>
        </w:tc>
        <w:tc>
          <w:tcPr>
            <w:tcW w:w="4725" w:type="dxa"/>
          </w:tcPr>
          <w:p w:rsidR="004019CA" w:rsidRPr="004019CA" w:rsidRDefault="004019CA" w:rsidP="004019CA">
            <w:r w:rsidRPr="004019CA">
              <w:t>Quarterly</w:t>
            </w:r>
          </w:p>
        </w:tc>
      </w:tr>
    </w:tbl>
    <w:p w:rsidR="00B54524" w:rsidRPr="009A2722" w:rsidRDefault="00B54524" w:rsidP="004019CA">
      <w:pPr>
        <w:jc w:val="center"/>
        <w:rPr>
          <w:b/>
        </w:rPr>
      </w:pPr>
    </w:p>
    <w:sectPr w:rsidR="00B54524" w:rsidRPr="009A2722" w:rsidSect="00B54524">
      <w:headerReference w:type="first" r:id="rId9"/>
      <w:pgSz w:w="16838" w:h="11906" w:orient="landscape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ED" w:rsidRDefault="00D063ED" w:rsidP="00D063ED">
      <w:r>
        <w:separator/>
      </w:r>
    </w:p>
  </w:endnote>
  <w:endnote w:type="continuationSeparator" w:id="0">
    <w:p w:rsidR="00D063ED" w:rsidRDefault="00D063ED" w:rsidP="00D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ED" w:rsidRDefault="00D063ED" w:rsidP="00D063ED">
      <w:r>
        <w:separator/>
      </w:r>
    </w:p>
  </w:footnote>
  <w:footnote w:type="continuationSeparator" w:id="0">
    <w:p w:rsidR="00D063ED" w:rsidRDefault="00D063ED" w:rsidP="00D0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A7" w:rsidRDefault="00BA20D4" w:rsidP="006A63A6">
    <w:pPr>
      <w:pStyle w:val="Header"/>
      <w:jc w:val="right"/>
    </w:pPr>
    <w:r>
      <w:t>1</w:t>
    </w:r>
    <w:r w:rsidR="004019CA">
      <w:t>4</w:t>
    </w:r>
    <w:r>
      <w:t xml:space="preserve"> April</w:t>
    </w:r>
    <w:r w:rsidR="00E36728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05D"/>
    <w:multiLevelType w:val="hybridMultilevel"/>
    <w:tmpl w:val="F5CE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196"/>
    <w:multiLevelType w:val="hybridMultilevel"/>
    <w:tmpl w:val="FA94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D5F"/>
    <w:multiLevelType w:val="hybridMultilevel"/>
    <w:tmpl w:val="45C63B34"/>
    <w:lvl w:ilvl="0" w:tplc="5956CD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8E15C6D"/>
    <w:multiLevelType w:val="hybridMultilevel"/>
    <w:tmpl w:val="9B163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667A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6AD4"/>
    <w:multiLevelType w:val="hybridMultilevel"/>
    <w:tmpl w:val="489C03E4"/>
    <w:lvl w:ilvl="0" w:tplc="61CAE58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4C2E38"/>
    <w:multiLevelType w:val="hybridMultilevel"/>
    <w:tmpl w:val="3A009CD0"/>
    <w:lvl w:ilvl="0" w:tplc="CF9E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5769"/>
    <w:multiLevelType w:val="hybridMultilevel"/>
    <w:tmpl w:val="44F26102"/>
    <w:lvl w:ilvl="0" w:tplc="CF9E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56AD0"/>
    <w:multiLevelType w:val="hybridMultilevel"/>
    <w:tmpl w:val="666A6482"/>
    <w:lvl w:ilvl="0" w:tplc="CF9E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F6DF4"/>
    <w:multiLevelType w:val="hybridMultilevel"/>
    <w:tmpl w:val="FA94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2428E"/>
    <w:multiLevelType w:val="hybridMultilevel"/>
    <w:tmpl w:val="9BC4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B2FE8"/>
    <w:multiLevelType w:val="hybridMultilevel"/>
    <w:tmpl w:val="300EF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509C"/>
    <w:multiLevelType w:val="hybridMultilevel"/>
    <w:tmpl w:val="D6E6A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760C"/>
    <w:multiLevelType w:val="hybridMultilevel"/>
    <w:tmpl w:val="1B144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834DB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E5AE1"/>
    <w:multiLevelType w:val="hybridMultilevel"/>
    <w:tmpl w:val="D5444B4A"/>
    <w:lvl w:ilvl="0" w:tplc="CF9E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D1A31"/>
    <w:multiLevelType w:val="hybridMultilevel"/>
    <w:tmpl w:val="0FF0E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B09CB"/>
    <w:multiLevelType w:val="hybridMultilevel"/>
    <w:tmpl w:val="017C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E77A6"/>
    <w:multiLevelType w:val="hybridMultilevel"/>
    <w:tmpl w:val="561CF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112AA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235D8"/>
    <w:multiLevelType w:val="hybridMultilevel"/>
    <w:tmpl w:val="302C5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90E00"/>
    <w:multiLevelType w:val="hybridMultilevel"/>
    <w:tmpl w:val="0F7A1C7A"/>
    <w:lvl w:ilvl="0" w:tplc="CF9E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358D7"/>
    <w:multiLevelType w:val="hybridMultilevel"/>
    <w:tmpl w:val="5580A35E"/>
    <w:lvl w:ilvl="0" w:tplc="CF9E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82E5E"/>
    <w:multiLevelType w:val="hybridMultilevel"/>
    <w:tmpl w:val="27EA8142"/>
    <w:lvl w:ilvl="0" w:tplc="BACC9C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716E70"/>
    <w:multiLevelType w:val="hybridMultilevel"/>
    <w:tmpl w:val="4172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1300D"/>
    <w:multiLevelType w:val="hybridMultilevel"/>
    <w:tmpl w:val="F2DCA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A6241"/>
    <w:multiLevelType w:val="hybridMultilevel"/>
    <w:tmpl w:val="26226232"/>
    <w:lvl w:ilvl="0" w:tplc="CF9E66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C79D8"/>
    <w:multiLevelType w:val="hybridMultilevel"/>
    <w:tmpl w:val="E51E4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82002"/>
    <w:multiLevelType w:val="hybridMultilevel"/>
    <w:tmpl w:val="B3C2A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7679"/>
    <w:multiLevelType w:val="hybridMultilevel"/>
    <w:tmpl w:val="7C1A7AF6"/>
    <w:lvl w:ilvl="0" w:tplc="96C802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40221"/>
    <w:multiLevelType w:val="hybridMultilevel"/>
    <w:tmpl w:val="DC82F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F2AFC"/>
    <w:multiLevelType w:val="hybridMultilevel"/>
    <w:tmpl w:val="017C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15868"/>
    <w:multiLevelType w:val="hybridMultilevel"/>
    <w:tmpl w:val="8B22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834F9"/>
    <w:multiLevelType w:val="hybridMultilevel"/>
    <w:tmpl w:val="3F9EF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14"/>
  </w:num>
  <w:num w:numId="27">
    <w:abstractNumId w:val="30"/>
  </w:num>
  <w:num w:numId="28">
    <w:abstractNumId w:val="0"/>
  </w:num>
  <w:num w:numId="29">
    <w:abstractNumId w:val="33"/>
  </w:num>
  <w:num w:numId="30">
    <w:abstractNumId w:val="28"/>
  </w:num>
  <w:num w:numId="31">
    <w:abstractNumId w:val="35"/>
  </w:num>
  <w:num w:numId="32">
    <w:abstractNumId w:val="32"/>
  </w:num>
  <w:num w:numId="33">
    <w:abstractNumId w:val="9"/>
  </w:num>
  <w:num w:numId="34">
    <w:abstractNumId w:val="16"/>
  </w:num>
  <w:num w:numId="35">
    <w:abstractNumId w:val="20"/>
  </w:num>
  <w:num w:numId="36">
    <w:abstractNumId w:val="13"/>
  </w:num>
  <w:num w:numId="37">
    <w:abstractNumId w:val="1"/>
  </w:num>
  <w:num w:numId="38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5C"/>
    <w:rsid w:val="00001F53"/>
    <w:rsid w:val="00004D5B"/>
    <w:rsid w:val="00005DDB"/>
    <w:rsid w:val="000253B8"/>
    <w:rsid w:val="000265B9"/>
    <w:rsid w:val="000322C7"/>
    <w:rsid w:val="00041C6C"/>
    <w:rsid w:val="00050939"/>
    <w:rsid w:val="00056F34"/>
    <w:rsid w:val="00057312"/>
    <w:rsid w:val="00066310"/>
    <w:rsid w:val="0007449B"/>
    <w:rsid w:val="00080B82"/>
    <w:rsid w:val="000813C2"/>
    <w:rsid w:val="0009510C"/>
    <w:rsid w:val="000978F6"/>
    <w:rsid w:val="00097BEC"/>
    <w:rsid w:val="000A121E"/>
    <w:rsid w:val="000A1DB6"/>
    <w:rsid w:val="000A5F47"/>
    <w:rsid w:val="000A6F20"/>
    <w:rsid w:val="000A7448"/>
    <w:rsid w:val="000A7545"/>
    <w:rsid w:val="000B074E"/>
    <w:rsid w:val="000B4310"/>
    <w:rsid w:val="000B72AB"/>
    <w:rsid w:val="000C31A2"/>
    <w:rsid w:val="000C5527"/>
    <w:rsid w:val="000C7BA9"/>
    <w:rsid w:val="000D0988"/>
    <w:rsid w:val="000D63D9"/>
    <w:rsid w:val="000E291A"/>
    <w:rsid w:val="000E33FC"/>
    <w:rsid w:val="000E4936"/>
    <w:rsid w:val="000E5EE1"/>
    <w:rsid w:val="000F1FFE"/>
    <w:rsid w:val="000F331D"/>
    <w:rsid w:val="000F5951"/>
    <w:rsid w:val="00100BDD"/>
    <w:rsid w:val="0010295B"/>
    <w:rsid w:val="001106EE"/>
    <w:rsid w:val="00111444"/>
    <w:rsid w:val="00112149"/>
    <w:rsid w:val="00120E6B"/>
    <w:rsid w:val="00132BFA"/>
    <w:rsid w:val="00134850"/>
    <w:rsid w:val="0013529A"/>
    <w:rsid w:val="00151328"/>
    <w:rsid w:val="001532DA"/>
    <w:rsid w:val="00161C31"/>
    <w:rsid w:val="0016465A"/>
    <w:rsid w:val="00165CD6"/>
    <w:rsid w:val="001731F5"/>
    <w:rsid w:val="001755B5"/>
    <w:rsid w:val="0017717D"/>
    <w:rsid w:val="001853C0"/>
    <w:rsid w:val="00190A6D"/>
    <w:rsid w:val="00192059"/>
    <w:rsid w:val="001953DA"/>
    <w:rsid w:val="00196680"/>
    <w:rsid w:val="00197956"/>
    <w:rsid w:val="001B08D0"/>
    <w:rsid w:val="001B191E"/>
    <w:rsid w:val="001B4771"/>
    <w:rsid w:val="001B605F"/>
    <w:rsid w:val="001B6DDE"/>
    <w:rsid w:val="001B7049"/>
    <w:rsid w:val="001B7911"/>
    <w:rsid w:val="001C3440"/>
    <w:rsid w:val="001C50CD"/>
    <w:rsid w:val="001D2AF7"/>
    <w:rsid w:val="001E02C3"/>
    <w:rsid w:val="001F358D"/>
    <w:rsid w:val="00200AAC"/>
    <w:rsid w:val="00200B12"/>
    <w:rsid w:val="00202BB5"/>
    <w:rsid w:val="00207810"/>
    <w:rsid w:val="00211129"/>
    <w:rsid w:val="0021265A"/>
    <w:rsid w:val="002128BE"/>
    <w:rsid w:val="0022558D"/>
    <w:rsid w:val="00226D26"/>
    <w:rsid w:val="00230F6A"/>
    <w:rsid w:val="00235A29"/>
    <w:rsid w:val="0025148D"/>
    <w:rsid w:val="002629B5"/>
    <w:rsid w:val="00263178"/>
    <w:rsid w:val="002669EA"/>
    <w:rsid w:val="0026705F"/>
    <w:rsid w:val="00272448"/>
    <w:rsid w:val="00273E9F"/>
    <w:rsid w:val="0027409C"/>
    <w:rsid w:val="0029173C"/>
    <w:rsid w:val="002A1D59"/>
    <w:rsid w:val="002A4C14"/>
    <w:rsid w:val="002B3636"/>
    <w:rsid w:val="002C0C0E"/>
    <w:rsid w:val="002C105F"/>
    <w:rsid w:val="002D2204"/>
    <w:rsid w:val="002D77EE"/>
    <w:rsid w:val="002E008F"/>
    <w:rsid w:val="002E0E6F"/>
    <w:rsid w:val="002E258C"/>
    <w:rsid w:val="002E5520"/>
    <w:rsid w:val="002E6E21"/>
    <w:rsid w:val="002F03E4"/>
    <w:rsid w:val="002F1A6E"/>
    <w:rsid w:val="002F56FF"/>
    <w:rsid w:val="00305D9E"/>
    <w:rsid w:val="00307935"/>
    <w:rsid w:val="003128AE"/>
    <w:rsid w:val="00315558"/>
    <w:rsid w:val="0031678C"/>
    <w:rsid w:val="00320CD0"/>
    <w:rsid w:val="00321F3C"/>
    <w:rsid w:val="00322949"/>
    <w:rsid w:val="00323F0E"/>
    <w:rsid w:val="00327196"/>
    <w:rsid w:val="00334CDF"/>
    <w:rsid w:val="00356539"/>
    <w:rsid w:val="00361168"/>
    <w:rsid w:val="003626CD"/>
    <w:rsid w:val="0036341D"/>
    <w:rsid w:val="00365FAA"/>
    <w:rsid w:val="00370020"/>
    <w:rsid w:val="00370026"/>
    <w:rsid w:val="00371A90"/>
    <w:rsid w:val="00381765"/>
    <w:rsid w:val="00383523"/>
    <w:rsid w:val="0039065F"/>
    <w:rsid w:val="00394EE6"/>
    <w:rsid w:val="003957A9"/>
    <w:rsid w:val="00395E37"/>
    <w:rsid w:val="003A38DF"/>
    <w:rsid w:val="003A3BE0"/>
    <w:rsid w:val="003A4C86"/>
    <w:rsid w:val="003B1985"/>
    <w:rsid w:val="003B585B"/>
    <w:rsid w:val="003D2857"/>
    <w:rsid w:val="003D5007"/>
    <w:rsid w:val="003D5B1D"/>
    <w:rsid w:val="003E1CCE"/>
    <w:rsid w:val="003E57D1"/>
    <w:rsid w:val="003F762D"/>
    <w:rsid w:val="004000D7"/>
    <w:rsid w:val="004019CA"/>
    <w:rsid w:val="00402D06"/>
    <w:rsid w:val="00404240"/>
    <w:rsid w:val="004045AA"/>
    <w:rsid w:val="00414772"/>
    <w:rsid w:val="0041514A"/>
    <w:rsid w:val="00416002"/>
    <w:rsid w:val="0041638A"/>
    <w:rsid w:val="00423C40"/>
    <w:rsid w:val="00425342"/>
    <w:rsid w:val="00426B65"/>
    <w:rsid w:val="0043026D"/>
    <w:rsid w:val="0043223B"/>
    <w:rsid w:val="00434EFD"/>
    <w:rsid w:val="00435DFA"/>
    <w:rsid w:val="004365E8"/>
    <w:rsid w:val="00436AF3"/>
    <w:rsid w:val="0045216E"/>
    <w:rsid w:val="004552E6"/>
    <w:rsid w:val="004604B7"/>
    <w:rsid w:val="00461634"/>
    <w:rsid w:val="004678C7"/>
    <w:rsid w:val="004712A7"/>
    <w:rsid w:val="004800B8"/>
    <w:rsid w:val="00483341"/>
    <w:rsid w:val="004906EB"/>
    <w:rsid w:val="00491C72"/>
    <w:rsid w:val="00495108"/>
    <w:rsid w:val="004A4BFF"/>
    <w:rsid w:val="004B55E6"/>
    <w:rsid w:val="004C1C1A"/>
    <w:rsid w:val="004C4526"/>
    <w:rsid w:val="004C78BA"/>
    <w:rsid w:val="004C7F6C"/>
    <w:rsid w:val="004D0E6D"/>
    <w:rsid w:val="004D1415"/>
    <w:rsid w:val="004D3438"/>
    <w:rsid w:val="004D37D1"/>
    <w:rsid w:val="004D6A95"/>
    <w:rsid w:val="004E5D6F"/>
    <w:rsid w:val="004E6B37"/>
    <w:rsid w:val="004F4CF5"/>
    <w:rsid w:val="004F6F43"/>
    <w:rsid w:val="004F7897"/>
    <w:rsid w:val="00500E5E"/>
    <w:rsid w:val="00504E43"/>
    <w:rsid w:val="00505387"/>
    <w:rsid w:val="00516540"/>
    <w:rsid w:val="005205AB"/>
    <w:rsid w:val="00520A8C"/>
    <w:rsid w:val="00525730"/>
    <w:rsid w:val="0053022A"/>
    <w:rsid w:val="00531308"/>
    <w:rsid w:val="00534A2D"/>
    <w:rsid w:val="005358BA"/>
    <w:rsid w:val="00537517"/>
    <w:rsid w:val="00543EB6"/>
    <w:rsid w:val="00550DCC"/>
    <w:rsid w:val="00554AB1"/>
    <w:rsid w:val="005574CD"/>
    <w:rsid w:val="0056147D"/>
    <w:rsid w:val="00561638"/>
    <w:rsid w:val="005645C4"/>
    <w:rsid w:val="005671ED"/>
    <w:rsid w:val="00574823"/>
    <w:rsid w:val="00574EA2"/>
    <w:rsid w:val="00577DCB"/>
    <w:rsid w:val="00584A8C"/>
    <w:rsid w:val="00590C10"/>
    <w:rsid w:val="00591938"/>
    <w:rsid w:val="00597723"/>
    <w:rsid w:val="0059772B"/>
    <w:rsid w:val="005A780C"/>
    <w:rsid w:val="005B714D"/>
    <w:rsid w:val="005C06CA"/>
    <w:rsid w:val="005D429E"/>
    <w:rsid w:val="005E22B3"/>
    <w:rsid w:val="005F0C91"/>
    <w:rsid w:val="005F1059"/>
    <w:rsid w:val="005F78D7"/>
    <w:rsid w:val="00600E0C"/>
    <w:rsid w:val="00600EDF"/>
    <w:rsid w:val="00614FF3"/>
    <w:rsid w:val="00615E14"/>
    <w:rsid w:val="00621F71"/>
    <w:rsid w:val="00632931"/>
    <w:rsid w:val="00632FDC"/>
    <w:rsid w:val="00645704"/>
    <w:rsid w:val="00651ECF"/>
    <w:rsid w:val="00653DC8"/>
    <w:rsid w:val="0065622F"/>
    <w:rsid w:val="006652EC"/>
    <w:rsid w:val="00671931"/>
    <w:rsid w:val="006722F6"/>
    <w:rsid w:val="006749E9"/>
    <w:rsid w:val="00674CA8"/>
    <w:rsid w:val="00677643"/>
    <w:rsid w:val="00677CBF"/>
    <w:rsid w:val="00690234"/>
    <w:rsid w:val="00690382"/>
    <w:rsid w:val="006939B7"/>
    <w:rsid w:val="0069710C"/>
    <w:rsid w:val="006975C5"/>
    <w:rsid w:val="006A1F9E"/>
    <w:rsid w:val="006A63A6"/>
    <w:rsid w:val="006A668D"/>
    <w:rsid w:val="006A69FE"/>
    <w:rsid w:val="006B01A7"/>
    <w:rsid w:val="006C0508"/>
    <w:rsid w:val="006C1045"/>
    <w:rsid w:val="006C5503"/>
    <w:rsid w:val="006C5830"/>
    <w:rsid w:val="006D6B3A"/>
    <w:rsid w:val="006D794A"/>
    <w:rsid w:val="006E3B24"/>
    <w:rsid w:val="006F6B38"/>
    <w:rsid w:val="00703C57"/>
    <w:rsid w:val="00716A60"/>
    <w:rsid w:val="00722091"/>
    <w:rsid w:val="00722E3F"/>
    <w:rsid w:val="00725EC0"/>
    <w:rsid w:val="00731E45"/>
    <w:rsid w:val="007345C8"/>
    <w:rsid w:val="00734DA8"/>
    <w:rsid w:val="0073573B"/>
    <w:rsid w:val="007420E8"/>
    <w:rsid w:val="00746ED5"/>
    <w:rsid w:val="00750D45"/>
    <w:rsid w:val="00751B77"/>
    <w:rsid w:val="007532F9"/>
    <w:rsid w:val="00754963"/>
    <w:rsid w:val="00771C00"/>
    <w:rsid w:val="007908F4"/>
    <w:rsid w:val="007A0767"/>
    <w:rsid w:val="007A22EE"/>
    <w:rsid w:val="007A5F1B"/>
    <w:rsid w:val="007A7AE5"/>
    <w:rsid w:val="007B3CCB"/>
    <w:rsid w:val="007B47C9"/>
    <w:rsid w:val="007B48BB"/>
    <w:rsid w:val="007B788D"/>
    <w:rsid w:val="007C3B3E"/>
    <w:rsid w:val="007C6B5D"/>
    <w:rsid w:val="007C7AEC"/>
    <w:rsid w:val="007D0CB4"/>
    <w:rsid w:val="007D3055"/>
    <w:rsid w:val="007D3E73"/>
    <w:rsid w:val="007F0A35"/>
    <w:rsid w:val="008075C4"/>
    <w:rsid w:val="008142A4"/>
    <w:rsid w:val="00820352"/>
    <w:rsid w:val="00822D5C"/>
    <w:rsid w:val="008249C0"/>
    <w:rsid w:val="008249C5"/>
    <w:rsid w:val="00825F7E"/>
    <w:rsid w:val="00830036"/>
    <w:rsid w:val="0083253F"/>
    <w:rsid w:val="00842FDB"/>
    <w:rsid w:val="00843A51"/>
    <w:rsid w:val="008451B5"/>
    <w:rsid w:val="00845F29"/>
    <w:rsid w:val="008514F6"/>
    <w:rsid w:val="00855385"/>
    <w:rsid w:val="00855625"/>
    <w:rsid w:val="00857D54"/>
    <w:rsid w:val="0086518A"/>
    <w:rsid w:val="00865263"/>
    <w:rsid w:val="00865F0B"/>
    <w:rsid w:val="00867E78"/>
    <w:rsid w:val="00873EE5"/>
    <w:rsid w:val="00897594"/>
    <w:rsid w:val="008976D5"/>
    <w:rsid w:val="008A0532"/>
    <w:rsid w:val="008A22C6"/>
    <w:rsid w:val="008A2E23"/>
    <w:rsid w:val="008C5F39"/>
    <w:rsid w:val="008D1EE1"/>
    <w:rsid w:val="008D363D"/>
    <w:rsid w:val="008D37EA"/>
    <w:rsid w:val="008D65A4"/>
    <w:rsid w:val="008E3830"/>
    <w:rsid w:val="008F32D2"/>
    <w:rsid w:val="00901754"/>
    <w:rsid w:val="00904310"/>
    <w:rsid w:val="00905046"/>
    <w:rsid w:val="00905C7F"/>
    <w:rsid w:val="00907065"/>
    <w:rsid w:val="00910097"/>
    <w:rsid w:val="009157EA"/>
    <w:rsid w:val="00917ACA"/>
    <w:rsid w:val="0092725D"/>
    <w:rsid w:val="0093132D"/>
    <w:rsid w:val="00933990"/>
    <w:rsid w:val="00934DC2"/>
    <w:rsid w:val="0093520C"/>
    <w:rsid w:val="00935468"/>
    <w:rsid w:val="00936529"/>
    <w:rsid w:val="00940942"/>
    <w:rsid w:val="00947B97"/>
    <w:rsid w:val="0095038A"/>
    <w:rsid w:val="0096422D"/>
    <w:rsid w:val="009660A6"/>
    <w:rsid w:val="0096619F"/>
    <w:rsid w:val="00967A80"/>
    <w:rsid w:val="00981D46"/>
    <w:rsid w:val="00982B84"/>
    <w:rsid w:val="00986493"/>
    <w:rsid w:val="00987034"/>
    <w:rsid w:val="00993CC3"/>
    <w:rsid w:val="009A0E9B"/>
    <w:rsid w:val="009A2722"/>
    <w:rsid w:val="009A4BBA"/>
    <w:rsid w:val="009A51E2"/>
    <w:rsid w:val="009A5FD2"/>
    <w:rsid w:val="009A63FA"/>
    <w:rsid w:val="009B19E4"/>
    <w:rsid w:val="009B1C57"/>
    <w:rsid w:val="009B4144"/>
    <w:rsid w:val="009B6003"/>
    <w:rsid w:val="009B62E0"/>
    <w:rsid w:val="009D0111"/>
    <w:rsid w:val="009D444E"/>
    <w:rsid w:val="009D524E"/>
    <w:rsid w:val="009E06DF"/>
    <w:rsid w:val="009E1259"/>
    <w:rsid w:val="009E449E"/>
    <w:rsid w:val="009F7D55"/>
    <w:rsid w:val="00A05DBC"/>
    <w:rsid w:val="00A05DC2"/>
    <w:rsid w:val="00A201F0"/>
    <w:rsid w:val="00A3436D"/>
    <w:rsid w:val="00A363BB"/>
    <w:rsid w:val="00A43C0A"/>
    <w:rsid w:val="00A453A2"/>
    <w:rsid w:val="00A479B3"/>
    <w:rsid w:val="00A52909"/>
    <w:rsid w:val="00A55C37"/>
    <w:rsid w:val="00A55CD5"/>
    <w:rsid w:val="00A62226"/>
    <w:rsid w:val="00A67169"/>
    <w:rsid w:val="00A6764F"/>
    <w:rsid w:val="00A67FC7"/>
    <w:rsid w:val="00A7280A"/>
    <w:rsid w:val="00A74DA1"/>
    <w:rsid w:val="00A853C9"/>
    <w:rsid w:val="00A85516"/>
    <w:rsid w:val="00A91033"/>
    <w:rsid w:val="00A91DC7"/>
    <w:rsid w:val="00A94545"/>
    <w:rsid w:val="00AB1468"/>
    <w:rsid w:val="00AB5327"/>
    <w:rsid w:val="00AC0F61"/>
    <w:rsid w:val="00AC2A04"/>
    <w:rsid w:val="00AC5293"/>
    <w:rsid w:val="00AD1AF2"/>
    <w:rsid w:val="00AD7F20"/>
    <w:rsid w:val="00AE0887"/>
    <w:rsid w:val="00AF6861"/>
    <w:rsid w:val="00B00682"/>
    <w:rsid w:val="00B01CDE"/>
    <w:rsid w:val="00B02149"/>
    <w:rsid w:val="00B075B4"/>
    <w:rsid w:val="00B14A3B"/>
    <w:rsid w:val="00B21C1A"/>
    <w:rsid w:val="00B21CCE"/>
    <w:rsid w:val="00B27116"/>
    <w:rsid w:val="00B27806"/>
    <w:rsid w:val="00B32335"/>
    <w:rsid w:val="00B353FF"/>
    <w:rsid w:val="00B424C3"/>
    <w:rsid w:val="00B46E88"/>
    <w:rsid w:val="00B51905"/>
    <w:rsid w:val="00B54524"/>
    <w:rsid w:val="00B555D7"/>
    <w:rsid w:val="00B612F5"/>
    <w:rsid w:val="00B64B84"/>
    <w:rsid w:val="00B66B03"/>
    <w:rsid w:val="00B70B58"/>
    <w:rsid w:val="00B72AA0"/>
    <w:rsid w:val="00B763D0"/>
    <w:rsid w:val="00B77194"/>
    <w:rsid w:val="00B83767"/>
    <w:rsid w:val="00B839C4"/>
    <w:rsid w:val="00B83C32"/>
    <w:rsid w:val="00B85096"/>
    <w:rsid w:val="00B95904"/>
    <w:rsid w:val="00B960E1"/>
    <w:rsid w:val="00B97EFF"/>
    <w:rsid w:val="00BA20D4"/>
    <w:rsid w:val="00BA4AA1"/>
    <w:rsid w:val="00BA687C"/>
    <w:rsid w:val="00BA7940"/>
    <w:rsid w:val="00BB0268"/>
    <w:rsid w:val="00BC4898"/>
    <w:rsid w:val="00BC6291"/>
    <w:rsid w:val="00BD0AE6"/>
    <w:rsid w:val="00BD3653"/>
    <w:rsid w:val="00BE2072"/>
    <w:rsid w:val="00BE348B"/>
    <w:rsid w:val="00BE7B81"/>
    <w:rsid w:val="00BF17BE"/>
    <w:rsid w:val="00BF48D5"/>
    <w:rsid w:val="00C07F80"/>
    <w:rsid w:val="00C10C30"/>
    <w:rsid w:val="00C11546"/>
    <w:rsid w:val="00C147ED"/>
    <w:rsid w:val="00C162C3"/>
    <w:rsid w:val="00C258A0"/>
    <w:rsid w:val="00C3795F"/>
    <w:rsid w:val="00C5108A"/>
    <w:rsid w:val="00C53F78"/>
    <w:rsid w:val="00C63804"/>
    <w:rsid w:val="00C64927"/>
    <w:rsid w:val="00C6581E"/>
    <w:rsid w:val="00C744E3"/>
    <w:rsid w:val="00C76A95"/>
    <w:rsid w:val="00C92177"/>
    <w:rsid w:val="00C9490F"/>
    <w:rsid w:val="00CA2B07"/>
    <w:rsid w:val="00CA7217"/>
    <w:rsid w:val="00CA7989"/>
    <w:rsid w:val="00CB0438"/>
    <w:rsid w:val="00CB3B98"/>
    <w:rsid w:val="00CB69B0"/>
    <w:rsid w:val="00CB6FFA"/>
    <w:rsid w:val="00CB71C8"/>
    <w:rsid w:val="00CC224F"/>
    <w:rsid w:val="00CC3437"/>
    <w:rsid w:val="00CC5EE6"/>
    <w:rsid w:val="00CE04CC"/>
    <w:rsid w:val="00CF39EB"/>
    <w:rsid w:val="00CF5AFF"/>
    <w:rsid w:val="00D00D3D"/>
    <w:rsid w:val="00D063ED"/>
    <w:rsid w:val="00D232A6"/>
    <w:rsid w:val="00D26D8F"/>
    <w:rsid w:val="00D27602"/>
    <w:rsid w:val="00D27A20"/>
    <w:rsid w:val="00D27BC3"/>
    <w:rsid w:val="00D317C4"/>
    <w:rsid w:val="00D328BA"/>
    <w:rsid w:val="00D40647"/>
    <w:rsid w:val="00D44798"/>
    <w:rsid w:val="00D5004D"/>
    <w:rsid w:val="00D51712"/>
    <w:rsid w:val="00D52F71"/>
    <w:rsid w:val="00D53BCB"/>
    <w:rsid w:val="00D54D83"/>
    <w:rsid w:val="00D551E1"/>
    <w:rsid w:val="00D56796"/>
    <w:rsid w:val="00D57A12"/>
    <w:rsid w:val="00D62823"/>
    <w:rsid w:val="00D634B6"/>
    <w:rsid w:val="00D666D4"/>
    <w:rsid w:val="00D77262"/>
    <w:rsid w:val="00DA0765"/>
    <w:rsid w:val="00DA0F3D"/>
    <w:rsid w:val="00DA657A"/>
    <w:rsid w:val="00DB1504"/>
    <w:rsid w:val="00DB1F99"/>
    <w:rsid w:val="00DC4D34"/>
    <w:rsid w:val="00DD0957"/>
    <w:rsid w:val="00DD1D79"/>
    <w:rsid w:val="00DD450D"/>
    <w:rsid w:val="00DD4A2C"/>
    <w:rsid w:val="00DD5445"/>
    <w:rsid w:val="00DE1431"/>
    <w:rsid w:val="00DF054D"/>
    <w:rsid w:val="00DF2400"/>
    <w:rsid w:val="00E00171"/>
    <w:rsid w:val="00E024DD"/>
    <w:rsid w:val="00E07C5F"/>
    <w:rsid w:val="00E12402"/>
    <w:rsid w:val="00E1637D"/>
    <w:rsid w:val="00E21902"/>
    <w:rsid w:val="00E232C6"/>
    <w:rsid w:val="00E31F1A"/>
    <w:rsid w:val="00E349B4"/>
    <w:rsid w:val="00E3518F"/>
    <w:rsid w:val="00E361A6"/>
    <w:rsid w:val="00E36728"/>
    <w:rsid w:val="00E371D6"/>
    <w:rsid w:val="00E37267"/>
    <w:rsid w:val="00E41A3C"/>
    <w:rsid w:val="00E44AB2"/>
    <w:rsid w:val="00E46A88"/>
    <w:rsid w:val="00E51E58"/>
    <w:rsid w:val="00E60200"/>
    <w:rsid w:val="00E74176"/>
    <w:rsid w:val="00E8355C"/>
    <w:rsid w:val="00E85C23"/>
    <w:rsid w:val="00E93CED"/>
    <w:rsid w:val="00E96C43"/>
    <w:rsid w:val="00EA4563"/>
    <w:rsid w:val="00EA4A73"/>
    <w:rsid w:val="00EA5C3C"/>
    <w:rsid w:val="00EB0F12"/>
    <w:rsid w:val="00EC0A4A"/>
    <w:rsid w:val="00EC4D33"/>
    <w:rsid w:val="00ED409A"/>
    <w:rsid w:val="00ED538E"/>
    <w:rsid w:val="00EF2723"/>
    <w:rsid w:val="00EF452F"/>
    <w:rsid w:val="00F00B30"/>
    <w:rsid w:val="00F04CA2"/>
    <w:rsid w:val="00F06077"/>
    <w:rsid w:val="00F0647D"/>
    <w:rsid w:val="00F0650F"/>
    <w:rsid w:val="00F06660"/>
    <w:rsid w:val="00F10CC3"/>
    <w:rsid w:val="00F10F13"/>
    <w:rsid w:val="00F11BCA"/>
    <w:rsid w:val="00F144AC"/>
    <w:rsid w:val="00F160EE"/>
    <w:rsid w:val="00F20CDD"/>
    <w:rsid w:val="00F2315C"/>
    <w:rsid w:val="00F237BA"/>
    <w:rsid w:val="00F26E1B"/>
    <w:rsid w:val="00F32363"/>
    <w:rsid w:val="00F32EEF"/>
    <w:rsid w:val="00F51484"/>
    <w:rsid w:val="00F5539D"/>
    <w:rsid w:val="00F66AE4"/>
    <w:rsid w:val="00F74BC8"/>
    <w:rsid w:val="00F74F26"/>
    <w:rsid w:val="00F757AE"/>
    <w:rsid w:val="00F82E84"/>
    <w:rsid w:val="00F85709"/>
    <w:rsid w:val="00F8696C"/>
    <w:rsid w:val="00F916BB"/>
    <w:rsid w:val="00FA2FC9"/>
    <w:rsid w:val="00FB41AE"/>
    <w:rsid w:val="00FB4726"/>
    <w:rsid w:val="00FC3F0C"/>
    <w:rsid w:val="00FC4F32"/>
    <w:rsid w:val="00FD3A85"/>
    <w:rsid w:val="00FD6EAE"/>
    <w:rsid w:val="00FE2429"/>
    <w:rsid w:val="00FE3B4F"/>
    <w:rsid w:val="00FF0E60"/>
    <w:rsid w:val="00FF0EA6"/>
    <w:rsid w:val="00FF1F6D"/>
    <w:rsid w:val="00FF4EFD"/>
    <w:rsid w:val="00FF6293"/>
    <w:rsid w:val="00FF6DBA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rsid w:val="00822D5C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822D5C"/>
    <w:pPr>
      <w:ind w:left="720"/>
      <w:contextualSpacing/>
    </w:pPr>
  </w:style>
  <w:style w:type="table" w:styleId="TableGrid">
    <w:name w:val="Table Grid"/>
    <w:basedOn w:val="TableNormal"/>
    <w:uiPriority w:val="59"/>
    <w:rsid w:val="00A6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E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6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ED"/>
    <w:rPr>
      <w:rFonts w:eastAsia="Times New Roman" w:cs="Times New Roman"/>
    </w:rPr>
  </w:style>
  <w:style w:type="paragraph" w:customStyle="1" w:styleId="CharChar1CharCharCharCharCharCharChar0">
    <w:name w:val="Char Char1 Char Char Char Char Char Char Char"/>
    <w:basedOn w:val="Normal"/>
    <w:rsid w:val="002C0C0E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1CharCharCharCharCharCharChar1">
    <w:name w:val="Char Char1 Char Char Char Char Char Char Char"/>
    <w:basedOn w:val="Normal"/>
    <w:rsid w:val="00FD6EAE"/>
    <w:pPr>
      <w:spacing w:after="160" w:line="240" w:lineRule="exac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rsid w:val="00822D5C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822D5C"/>
    <w:pPr>
      <w:ind w:left="720"/>
      <w:contextualSpacing/>
    </w:pPr>
  </w:style>
  <w:style w:type="table" w:styleId="TableGrid">
    <w:name w:val="Table Grid"/>
    <w:basedOn w:val="TableNormal"/>
    <w:uiPriority w:val="59"/>
    <w:rsid w:val="00A6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E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6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ED"/>
    <w:rPr>
      <w:rFonts w:eastAsia="Times New Roman" w:cs="Times New Roman"/>
    </w:rPr>
  </w:style>
  <w:style w:type="paragraph" w:customStyle="1" w:styleId="CharChar1CharCharCharCharCharCharChar0">
    <w:name w:val="Char Char1 Char Char Char Char Char Char Char"/>
    <w:basedOn w:val="Normal"/>
    <w:rsid w:val="002C0C0E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1CharCharCharCharCharCharChar1">
    <w:name w:val="Char Char1 Char Char Char Char Char Char Char"/>
    <w:basedOn w:val="Normal"/>
    <w:rsid w:val="00FD6EAE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B3D3-940F-47AC-BA4F-553C0D04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9FA97D58.dotm</Template>
  <TotalTime>1</TotalTime>
  <Pages>11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Sarah.Claridge</cp:lastModifiedBy>
  <cp:revision>2</cp:revision>
  <cp:lastPrinted>2015-03-12T11:03:00Z</cp:lastPrinted>
  <dcterms:created xsi:type="dcterms:W3CDTF">2015-04-17T13:27:00Z</dcterms:created>
  <dcterms:modified xsi:type="dcterms:W3CDTF">2015-04-17T13:27:00Z</dcterms:modified>
</cp:coreProperties>
</file>